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66BF63" w14:textId="7840ECDA" w:rsidR="004856BD" w:rsidRDefault="00E271A8" w:rsidP="004856BD">
      <w:pPr>
        <w:pStyle w:val="Heading1"/>
      </w:pPr>
      <w:r>
        <w:t>Rapid Assessments: Companion Guide</w:t>
      </w:r>
    </w:p>
    <w:p w14:paraId="73192C02" w14:textId="59645550" w:rsidR="00E271A8" w:rsidRPr="00E271A8" w:rsidRDefault="00E271A8" w:rsidP="00E271A8">
      <w:pPr>
        <w:pStyle w:val="Heading2"/>
      </w:pPr>
      <w:r>
        <w:t>Introduction</w:t>
      </w:r>
    </w:p>
    <w:p w14:paraId="5CCD3C0B" w14:textId="5AAF52FD" w:rsidR="00682F3B" w:rsidRDefault="00E271A8" w:rsidP="004856BD">
      <w:pPr>
        <w:rPr>
          <w:sz w:val="23"/>
          <w:szCs w:val="23"/>
        </w:rPr>
      </w:pPr>
      <w:r w:rsidRPr="002801A0">
        <w:rPr>
          <w:sz w:val="23"/>
          <w:szCs w:val="23"/>
        </w:rPr>
        <w:t xml:space="preserve">States have diligently </w:t>
      </w:r>
      <w:r w:rsidR="00EA7383">
        <w:rPr>
          <w:sz w:val="23"/>
          <w:szCs w:val="23"/>
        </w:rPr>
        <w:t xml:space="preserve">responded </w:t>
      </w:r>
      <w:r w:rsidRPr="002801A0">
        <w:rPr>
          <w:sz w:val="23"/>
          <w:szCs w:val="23"/>
        </w:rPr>
        <w:t>to the COVID-19 crisis with flexibility</w:t>
      </w:r>
      <w:r>
        <w:rPr>
          <w:sz w:val="23"/>
          <w:szCs w:val="23"/>
        </w:rPr>
        <w:t xml:space="preserve">, </w:t>
      </w:r>
      <w:r w:rsidRPr="002801A0">
        <w:rPr>
          <w:sz w:val="23"/>
          <w:szCs w:val="23"/>
        </w:rPr>
        <w:t>creativity</w:t>
      </w:r>
      <w:r w:rsidR="00682F3B">
        <w:rPr>
          <w:sz w:val="23"/>
          <w:szCs w:val="23"/>
        </w:rPr>
        <w:t>,</w:t>
      </w:r>
      <w:r>
        <w:rPr>
          <w:sz w:val="23"/>
          <w:szCs w:val="23"/>
        </w:rPr>
        <w:t xml:space="preserve"> and strength</w:t>
      </w:r>
      <w:r w:rsidR="00682F3B">
        <w:rPr>
          <w:sz w:val="23"/>
          <w:szCs w:val="23"/>
        </w:rPr>
        <w:t xml:space="preserve">. In response to the pandemic, states have created leadership teams, identified </w:t>
      </w:r>
      <w:r w:rsidRPr="002801A0">
        <w:rPr>
          <w:sz w:val="23"/>
          <w:szCs w:val="23"/>
        </w:rPr>
        <w:t xml:space="preserve">populations most in need, </w:t>
      </w:r>
      <w:r w:rsidR="00682F3B">
        <w:rPr>
          <w:sz w:val="23"/>
          <w:szCs w:val="23"/>
        </w:rPr>
        <w:t xml:space="preserve">responded to </w:t>
      </w:r>
      <w:r w:rsidRPr="002801A0">
        <w:rPr>
          <w:sz w:val="23"/>
          <w:szCs w:val="23"/>
        </w:rPr>
        <w:t>workforce capacity and safety</w:t>
      </w:r>
      <w:r>
        <w:rPr>
          <w:sz w:val="23"/>
          <w:szCs w:val="23"/>
        </w:rPr>
        <w:t xml:space="preserve"> issues</w:t>
      </w:r>
      <w:r w:rsidRPr="002801A0">
        <w:rPr>
          <w:sz w:val="23"/>
          <w:szCs w:val="23"/>
        </w:rPr>
        <w:t xml:space="preserve">, and </w:t>
      </w:r>
      <w:r w:rsidR="00682F3B">
        <w:rPr>
          <w:sz w:val="23"/>
          <w:szCs w:val="23"/>
        </w:rPr>
        <w:t xml:space="preserve">continued providing </w:t>
      </w:r>
      <w:r>
        <w:rPr>
          <w:sz w:val="23"/>
          <w:szCs w:val="23"/>
        </w:rPr>
        <w:t xml:space="preserve">essential </w:t>
      </w:r>
      <w:r w:rsidRPr="002801A0">
        <w:rPr>
          <w:sz w:val="23"/>
          <w:szCs w:val="23"/>
        </w:rPr>
        <w:t>services</w:t>
      </w:r>
      <w:r w:rsidR="00682F3B">
        <w:rPr>
          <w:sz w:val="23"/>
          <w:szCs w:val="23"/>
        </w:rPr>
        <w:t>, to the degree possible</w:t>
      </w:r>
      <w:r w:rsidRPr="002801A0">
        <w:rPr>
          <w:sz w:val="23"/>
          <w:szCs w:val="23"/>
        </w:rPr>
        <w:t xml:space="preserve">. </w:t>
      </w:r>
    </w:p>
    <w:p w14:paraId="21943A4B" w14:textId="44E4FB17" w:rsidR="00F92DE5" w:rsidRDefault="00F92DE5" w:rsidP="004856BD">
      <w:pPr>
        <w:rPr>
          <w:sz w:val="23"/>
          <w:szCs w:val="23"/>
        </w:rPr>
      </w:pPr>
      <w:r>
        <w:t xml:space="preserve">This tool serves as a </w:t>
      </w:r>
      <w:r w:rsidRPr="00544D34">
        <w:rPr>
          <w:b/>
        </w:rPr>
        <w:t>checklist</w:t>
      </w:r>
      <w:r>
        <w:t xml:space="preserve"> to help NWD Systems assess their current operations and adapt to meet new needs arising from the COVID-19 pandemic or similar emergency situations. The overarching goal is to align the workforce to provide services most helpful for people in need. </w:t>
      </w:r>
      <w:r>
        <w:rPr>
          <w:sz w:val="23"/>
          <w:szCs w:val="23"/>
        </w:rPr>
        <w:t xml:space="preserve">This assessment can help NWD systems identify organizational steps needed to </w:t>
      </w:r>
      <w:r w:rsidRPr="00FE1828">
        <w:rPr>
          <w:b/>
          <w:sz w:val="23"/>
          <w:szCs w:val="23"/>
        </w:rPr>
        <w:t>respond</w:t>
      </w:r>
      <w:r>
        <w:rPr>
          <w:sz w:val="23"/>
          <w:szCs w:val="23"/>
        </w:rPr>
        <w:t xml:space="preserve"> to COVID-19, as well as to </w:t>
      </w:r>
      <w:r w:rsidRPr="00FE1828">
        <w:rPr>
          <w:b/>
          <w:sz w:val="23"/>
          <w:szCs w:val="23"/>
        </w:rPr>
        <w:t>recover</w:t>
      </w:r>
      <w:r>
        <w:rPr>
          <w:sz w:val="23"/>
          <w:szCs w:val="23"/>
        </w:rPr>
        <w:t xml:space="preserve"> from COVID-19, to </w:t>
      </w:r>
      <w:r w:rsidRPr="00FE1828">
        <w:rPr>
          <w:b/>
          <w:sz w:val="23"/>
          <w:szCs w:val="23"/>
        </w:rPr>
        <w:t>mitigate</w:t>
      </w:r>
      <w:r>
        <w:rPr>
          <w:sz w:val="23"/>
          <w:szCs w:val="23"/>
        </w:rPr>
        <w:t xml:space="preserve"> barriers, and to </w:t>
      </w:r>
      <w:r w:rsidRPr="00FE1828">
        <w:rPr>
          <w:b/>
          <w:sz w:val="23"/>
          <w:szCs w:val="23"/>
        </w:rPr>
        <w:t>prepare</w:t>
      </w:r>
      <w:r>
        <w:rPr>
          <w:sz w:val="23"/>
          <w:szCs w:val="23"/>
        </w:rPr>
        <w:t xml:space="preserve"> for future outbreaks.</w:t>
      </w:r>
    </w:p>
    <w:p w14:paraId="629EB4B0" w14:textId="43F00F64" w:rsidR="006803A4" w:rsidRDefault="004856BD" w:rsidP="004856BD">
      <w:r>
        <w:t xml:space="preserve">This package </w:t>
      </w:r>
      <w:r w:rsidR="00A530EA">
        <w:t xml:space="preserve">includes </w:t>
      </w:r>
      <w:r w:rsidR="00682F3B">
        <w:t>four</w:t>
      </w:r>
      <w:r w:rsidR="00A530EA">
        <w:t xml:space="preserve"> sections</w:t>
      </w:r>
      <w:r>
        <w:t>, each focusing on a</w:t>
      </w:r>
      <w:r w:rsidR="00682F3B">
        <w:t xml:space="preserve"> different aspect of NWD System crisis response: </w:t>
      </w:r>
    </w:p>
    <w:p w14:paraId="56CDEF14" w14:textId="5C838941" w:rsidR="00682F3B" w:rsidRDefault="00FE1828" w:rsidP="00FE1828">
      <w:pPr>
        <w:pStyle w:val="ListParagraph"/>
        <w:numPr>
          <w:ilvl w:val="0"/>
          <w:numId w:val="35"/>
        </w:numPr>
      </w:pPr>
      <w:r>
        <w:t xml:space="preserve">Establishing a </w:t>
      </w:r>
      <w:r w:rsidRPr="00FE1828">
        <w:rPr>
          <w:b/>
        </w:rPr>
        <w:t>rapid response team and response plan</w:t>
      </w:r>
      <w:r>
        <w:t>, and assessing IT and communications</w:t>
      </w:r>
      <w:r w:rsidR="003C6718">
        <w:t xml:space="preserve"> (</w:t>
      </w:r>
      <w:r w:rsidR="00C17BAB">
        <w:t>Items</w:t>
      </w:r>
      <w:r w:rsidR="003C6718">
        <w:t xml:space="preserve"> 1-1</w:t>
      </w:r>
      <w:r w:rsidR="00236B4F">
        <w:t>0</w:t>
      </w:r>
      <w:r w:rsidR="003C6718">
        <w:t>)</w:t>
      </w:r>
      <w:r>
        <w:t>,</w:t>
      </w:r>
    </w:p>
    <w:p w14:paraId="046B17C9" w14:textId="5FB6ADEC" w:rsidR="00FE1828" w:rsidRDefault="00FE1828" w:rsidP="00FE1828">
      <w:pPr>
        <w:pStyle w:val="ListParagraph"/>
        <w:numPr>
          <w:ilvl w:val="0"/>
          <w:numId w:val="35"/>
        </w:numPr>
      </w:pPr>
      <w:r w:rsidRPr="008A5800">
        <w:rPr>
          <w:b/>
        </w:rPr>
        <w:t>Assessing</w:t>
      </w:r>
      <w:r>
        <w:t xml:space="preserve"> </w:t>
      </w:r>
      <w:r w:rsidRPr="008A5800">
        <w:t>people</w:t>
      </w:r>
      <w:r>
        <w:t xml:space="preserve"> in need of NWD System supports</w:t>
      </w:r>
      <w:r w:rsidR="006803A4">
        <w:t>, available services, and workforce</w:t>
      </w:r>
      <w:r w:rsidR="003C6718">
        <w:t xml:space="preserve"> (</w:t>
      </w:r>
      <w:r w:rsidR="00C17BAB">
        <w:t>Items</w:t>
      </w:r>
      <w:r w:rsidR="003C6718">
        <w:t xml:space="preserve"> 1</w:t>
      </w:r>
      <w:r w:rsidR="00236B4F">
        <w:t>1</w:t>
      </w:r>
      <w:r w:rsidR="003C6718">
        <w:t>-1</w:t>
      </w:r>
      <w:r w:rsidR="00236B4F">
        <w:t>3</w:t>
      </w:r>
      <w:r w:rsidR="003C6718">
        <w:t>)</w:t>
      </w:r>
      <w:r>
        <w:t xml:space="preserve">, </w:t>
      </w:r>
    </w:p>
    <w:p w14:paraId="14E8F185" w14:textId="2794E69D" w:rsidR="00FE1828" w:rsidRDefault="006803A4" w:rsidP="00FE1828">
      <w:pPr>
        <w:pStyle w:val="ListParagraph"/>
        <w:numPr>
          <w:ilvl w:val="0"/>
          <w:numId w:val="35"/>
        </w:numPr>
      </w:pPr>
      <w:r>
        <w:t>Modifying</w:t>
      </w:r>
      <w:r w:rsidR="00FE1828">
        <w:t xml:space="preserve"> the </w:t>
      </w:r>
      <w:r w:rsidR="00FE1828" w:rsidRPr="00FE1828">
        <w:rPr>
          <w:b/>
        </w:rPr>
        <w:t>services</w:t>
      </w:r>
      <w:r w:rsidR="00FE1828">
        <w:t xml:space="preserve"> available to address identified needs</w:t>
      </w:r>
      <w:r w:rsidR="007437EB">
        <w:t xml:space="preserve"> (</w:t>
      </w:r>
      <w:r w:rsidR="00C17BAB">
        <w:t>Items</w:t>
      </w:r>
      <w:r w:rsidR="007437EB">
        <w:t xml:space="preserve"> 1</w:t>
      </w:r>
      <w:r w:rsidR="00236B4F">
        <w:t>4</w:t>
      </w:r>
      <w:r w:rsidR="007437EB">
        <w:t>-2</w:t>
      </w:r>
      <w:r w:rsidR="00236B4F">
        <w:t>0</w:t>
      </w:r>
      <w:r w:rsidR="003C6718">
        <w:t>)</w:t>
      </w:r>
      <w:r w:rsidR="00FE1828">
        <w:t>, and</w:t>
      </w:r>
    </w:p>
    <w:p w14:paraId="0DF45938" w14:textId="45561D03" w:rsidR="00F92DE5" w:rsidRDefault="006803A4" w:rsidP="008A5800">
      <w:pPr>
        <w:pStyle w:val="ListParagraph"/>
        <w:numPr>
          <w:ilvl w:val="0"/>
          <w:numId w:val="35"/>
        </w:numPr>
      </w:pPr>
      <w:r>
        <w:t xml:space="preserve">Appropriately adjusting </w:t>
      </w:r>
      <w:r w:rsidR="00FE1828">
        <w:t xml:space="preserve">the </w:t>
      </w:r>
      <w:r w:rsidR="00FE1828" w:rsidRPr="00FE1828">
        <w:rPr>
          <w:b/>
        </w:rPr>
        <w:t>workforce</w:t>
      </w:r>
      <w:r w:rsidR="00FE1828">
        <w:t xml:space="preserve"> to provide the services people need</w:t>
      </w:r>
      <w:r w:rsidR="007437EB">
        <w:t xml:space="preserve"> (</w:t>
      </w:r>
      <w:r w:rsidR="00C17BAB">
        <w:t>Items</w:t>
      </w:r>
      <w:r w:rsidR="007437EB">
        <w:t xml:space="preserve"> 2</w:t>
      </w:r>
      <w:r w:rsidR="00236B4F">
        <w:t>1-24</w:t>
      </w:r>
      <w:r w:rsidR="003C6718">
        <w:t>)</w:t>
      </w:r>
      <w:r w:rsidR="00FE1828">
        <w:t>.</w:t>
      </w:r>
    </w:p>
    <w:p w14:paraId="720F7C7A" w14:textId="77777777" w:rsidR="00F92DE5" w:rsidRDefault="00F92DE5" w:rsidP="00F92DE5">
      <w:pPr>
        <w:pStyle w:val="Heading2"/>
        <w:spacing w:before="240"/>
        <w:ind w:left="0" w:firstLine="0"/>
      </w:pPr>
      <w:r>
        <w:t>Who should complete the rapid assessments, and when?</w:t>
      </w:r>
    </w:p>
    <w:p w14:paraId="57274AEE" w14:textId="27FB1D83" w:rsidR="00F92DE5" w:rsidRDefault="00F92DE5" w:rsidP="00F92DE5">
      <w:pPr>
        <w:autoSpaceDE w:val="0"/>
        <w:autoSpaceDN w:val="0"/>
        <w:adjustRightInd w:val="0"/>
        <w:spacing w:after="120" w:line="243" w:lineRule="auto"/>
        <w:ind w:right="108"/>
      </w:pPr>
      <w:r>
        <w:t xml:space="preserve">NWD System entities at the state and/or local level can complete the rapid assessment. </w:t>
      </w:r>
      <w:r>
        <w:rPr>
          <w:b/>
        </w:rPr>
        <w:t>It is recommended that e</w:t>
      </w:r>
      <w:r w:rsidRPr="00E271A8">
        <w:rPr>
          <w:b/>
        </w:rPr>
        <w:t xml:space="preserve">ach state or local entity initially complete all </w:t>
      </w:r>
      <w:r>
        <w:rPr>
          <w:b/>
        </w:rPr>
        <w:t xml:space="preserve">four sections of the rapid assessment. </w:t>
      </w:r>
      <w:r>
        <w:t>For the ADRC COVID-19 grant, each state</w:t>
      </w:r>
      <w:r w:rsidR="005C01D3">
        <w:t>/territory</w:t>
      </w:r>
      <w:r>
        <w:t xml:space="preserve"> must submit a</w:t>
      </w:r>
      <w:r w:rsidR="005C01D3">
        <w:t xml:space="preserve">t least one assessment to ACL </w:t>
      </w:r>
      <w:r w:rsidR="005C01D3" w:rsidRPr="009D4A03">
        <w:rPr>
          <w:b/>
        </w:rPr>
        <w:t>before June 30, 2020</w:t>
      </w:r>
      <w:r>
        <w:t xml:space="preserve">. These submissions will help ACL provide support as needed and effectively target technical assistance. Rapid assessment submissions may come from the state or local level. As appropriate, states and local sites may choose to </w:t>
      </w:r>
      <w:r w:rsidRPr="003C6718">
        <w:rPr>
          <w:b/>
        </w:rPr>
        <w:t xml:space="preserve">periodically </w:t>
      </w:r>
      <w:r>
        <w:rPr>
          <w:b/>
        </w:rPr>
        <w:t>reassess</w:t>
      </w:r>
      <w:r>
        <w:t xml:space="preserve"> to identify gaps in people who receive and/or need help, the services they need, and the capacity of the workforce to meet those needs. States may also choose to share these re-assessments with ACL.</w:t>
      </w:r>
    </w:p>
    <w:p w14:paraId="63A7969E" w14:textId="0B1642F3" w:rsidR="00C53C21" w:rsidRDefault="00C53C21" w:rsidP="00C53C21">
      <w:pPr>
        <w:pStyle w:val="Heading2"/>
      </w:pPr>
      <w:r>
        <w:t>What information is needed to complete the rapid assessment?</w:t>
      </w:r>
    </w:p>
    <w:tbl>
      <w:tblPr>
        <w:tblStyle w:val="Lewin5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8103"/>
      </w:tblGrid>
      <w:tr w:rsidR="000536C9" w:rsidRPr="00C53C21" w14:paraId="379C58CD" w14:textId="77777777" w:rsidTr="00FE182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47"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004250" w:themeFill="accent1"/>
            <w:vAlign w:val="top"/>
            <w:hideMark/>
          </w:tcPr>
          <w:p w14:paraId="47EC22F9" w14:textId="7AD93768" w:rsidR="000536C9" w:rsidRPr="00FE1828" w:rsidRDefault="000536C9" w:rsidP="00FE1828">
            <w:pPr>
              <w:spacing w:after="0"/>
              <w:jc w:val="left"/>
              <w:rPr>
                <w:rFonts w:asciiTheme="minorHAnsi" w:hAnsiTheme="minorHAnsi" w:cstheme="minorHAnsi"/>
                <w:color w:val="auto"/>
                <w:sz w:val="22"/>
                <w:szCs w:val="22"/>
              </w:rPr>
            </w:pPr>
            <w:r w:rsidRPr="00FE1828">
              <w:rPr>
                <w:rFonts w:asciiTheme="minorHAnsi" w:hAnsiTheme="minorHAnsi" w:cstheme="minorHAnsi"/>
                <w:color w:val="auto"/>
                <w:sz w:val="22"/>
                <w:szCs w:val="22"/>
              </w:rPr>
              <w:t>Gather Information</w:t>
            </w:r>
          </w:p>
        </w:tc>
        <w:tc>
          <w:tcPr>
            <w:tcW w:w="8103"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FFFFFF" w:themeFill="background1"/>
            <w:vAlign w:val="top"/>
          </w:tcPr>
          <w:p w14:paraId="70B32104" w14:textId="50F81C06" w:rsidR="000536C9" w:rsidRPr="00FE1828" w:rsidRDefault="00FE1828" w:rsidP="00FE1828">
            <w:p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Pr>
                <w:rFonts w:asciiTheme="minorHAnsi" w:hAnsiTheme="minorHAnsi" w:cstheme="minorHAnsi"/>
                <w:b w:val="0"/>
                <w:color w:val="auto"/>
                <w:sz w:val="22"/>
                <w:szCs w:val="22"/>
              </w:rPr>
              <w:t>When starting the assessment, i</w:t>
            </w:r>
            <w:r w:rsidR="000536C9" w:rsidRPr="00FE1828">
              <w:rPr>
                <w:rFonts w:asciiTheme="minorHAnsi" w:hAnsiTheme="minorHAnsi" w:cstheme="minorHAnsi"/>
                <w:b w:val="0"/>
                <w:color w:val="auto"/>
                <w:sz w:val="22"/>
                <w:szCs w:val="22"/>
              </w:rPr>
              <w:t xml:space="preserve">t </w:t>
            </w:r>
            <w:r w:rsidR="00F92DE5">
              <w:rPr>
                <w:rFonts w:asciiTheme="minorHAnsi" w:hAnsiTheme="minorHAnsi" w:cstheme="minorHAnsi"/>
                <w:b w:val="0"/>
                <w:color w:val="auto"/>
                <w:sz w:val="22"/>
                <w:szCs w:val="22"/>
              </w:rPr>
              <w:t>will be</w:t>
            </w:r>
            <w:r w:rsidR="00F92DE5" w:rsidRPr="00FE1828">
              <w:rPr>
                <w:rFonts w:asciiTheme="minorHAnsi" w:hAnsiTheme="minorHAnsi" w:cstheme="minorHAnsi"/>
                <w:b w:val="0"/>
                <w:color w:val="auto"/>
                <w:sz w:val="22"/>
                <w:szCs w:val="22"/>
              </w:rPr>
              <w:t xml:space="preserve"> </w:t>
            </w:r>
            <w:r w:rsidR="000536C9" w:rsidRPr="00FE1828">
              <w:rPr>
                <w:rFonts w:asciiTheme="minorHAnsi" w:hAnsiTheme="minorHAnsi" w:cstheme="minorHAnsi"/>
                <w:b w:val="0"/>
                <w:color w:val="auto"/>
                <w:sz w:val="22"/>
                <w:szCs w:val="22"/>
              </w:rPr>
              <w:t>useful to have the following available:</w:t>
            </w:r>
          </w:p>
          <w:p w14:paraId="0644E27A" w14:textId="77777777" w:rsidR="000536C9" w:rsidRPr="00FE1828" w:rsidRDefault="000536C9" w:rsidP="00FE1828">
            <w:pPr>
              <w:pStyle w:val="ListParagraph"/>
              <w:numPr>
                <w:ilvl w:val="0"/>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FE1828">
              <w:rPr>
                <w:rFonts w:asciiTheme="minorHAnsi" w:hAnsiTheme="minorHAnsi" w:cstheme="minorHAnsi"/>
                <w:b w:val="0"/>
                <w:color w:val="auto"/>
                <w:sz w:val="22"/>
                <w:szCs w:val="22"/>
              </w:rPr>
              <w:t>Emergency Preparedness Plan</w:t>
            </w:r>
          </w:p>
          <w:p w14:paraId="3F07E5C3" w14:textId="77777777" w:rsidR="000536C9" w:rsidRPr="00FE1828" w:rsidRDefault="000536C9" w:rsidP="00FE1828">
            <w:pPr>
              <w:pStyle w:val="ListParagraph"/>
              <w:numPr>
                <w:ilvl w:val="0"/>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FE1828">
              <w:rPr>
                <w:rFonts w:asciiTheme="minorHAnsi" w:hAnsiTheme="minorHAnsi" w:cstheme="minorHAnsi"/>
                <w:b w:val="0"/>
                <w:color w:val="auto"/>
                <w:sz w:val="22"/>
                <w:szCs w:val="22"/>
              </w:rPr>
              <w:t>Any state specific declarations and guidance</w:t>
            </w:r>
          </w:p>
          <w:p w14:paraId="7E123A9F" w14:textId="1C9ED225" w:rsidR="000536C9" w:rsidRDefault="003C6718" w:rsidP="00FE1828">
            <w:pPr>
              <w:pStyle w:val="ListParagraph"/>
              <w:numPr>
                <w:ilvl w:val="0"/>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Pr>
                <w:rFonts w:asciiTheme="minorHAnsi" w:hAnsiTheme="minorHAnsi" w:cstheme="minorHAnsi"/>
                <w:b w:val="0"/>
                <w:color w:val="auto"/>
                <w:sz w:val="22"/>
                <w:szCs w:val="22"/>
              </w:rPr>
              <w:t>Pre- and post-COVID-19 data from information, referral, and assistance (IR&amp;A) and person-centered counseling (PCC) calls</w:t>
            </w:r>
            <w:r w:rsidR="00694C07">
              <w:rPr>
                <w:rFonts w:asciiTheme="minorHAnsi" w:hAnsiTheme="minorHAnsi" w:cstheme="minorHAnsi"/>
                <w:b w:val="0"/>
                <w:color w:val="auto"/>
                <w:sz w:val="22"/>
                <w:szCs w:val="22"/>
              </w:rPr>
              <w:t>, such as:</w:t>
            </w:r>
          </w:p>
          <w:p w14:paraId="1FAFD7D2" w14:textId="77777777" w:rsidR="00694C07" w:rsidRDefault="00EC2ED8" w:rsidP="00694C07">
            <w:pPr>
              <w:pStyle w:val="ListParagraph"/>
              <w:numPr>
                <w:ilvl w:val="1"/>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EC2ED8">
              <w:rPr>
                <w:rFonts w:asciiTheme="minorHAnsi" w:hAnsiTheme="minorHAnsi" w:cstheme="minorHAnsi"/>
                <w:b w:val="0"/>
                <w:color w:val="auto"/>
                <w:sz w:val="22"/>
                <w:szCs w:val="22"/>
              </w:rPr>
              <w:t>Individuals receiving NWD System services</w:t>
            </w:r>
          </w:p>
          <w:p w14:paraId="3C4A0E27" w14:textId="7B81E429" w:rsidR="00694C07" w:rsidRPr="00EC2ED8" w:rsidRDefault="00694C07" w:rsidP="00694C07">
            <w:pPr>
              <w:pStyle w:val="ListParagraph"/>
              <w:numPr>
                <w:ilvl w:val="1"/>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Pr>
                <w:rFonts w:asciiTheme="minorHAnsi" w:hAnsiTheme="minorHAnsi" w:cstheme="minorHAnsi"/>
                <w:b w:val="0"/>
                <w:color w:val="auto"/>
                <w:sz w:val="22"/>
                <w:szCs w:val="22"/>
              </w:rPr>
              <w:t>Individuals calling the NWD System toll-free number for the first time who may remain on NWD System caseloads</w:t>
            </w:r>
          </w:p>
          <w:p w14:paraId="7F500F43" w14:textId="262B0A53" w:rsidR="000536C9" w:rsidRDefault="003374EE" w:rsidP="00FE1828">
            <w:pPr>
              <w:pStyle w:val="ListParagraph"/>
              <w:numPr>
                <w:ilvl w:val="0"/>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FE1828">
              <w:rPr>
                <w:rFonts w:asciiTheme="minorHAnsi" w:hAnsiTheme="minorHAnsi" w:cstheme="minorHAnsi"/>
                <w:b w:val="0"/>
                <w:color w:val="auto"/>
                <w:sz w:val="22"/>
                <w:szCs w:val="22"/>
              </w:rPr>
              <w:t>H</w:t>
            </w:r>
            <w:r w:rsidR="00694C07">
              <w:rPr>
                <w:rFonts w:asciiTheme="minorHAnsi" w:hAnsiTheme="minorHAnsi" w:cstheme="minorHAnsi"/>
                <w:b w:val="0"/>
                <w:color w:val="auto"/>
                <w:sz w:val="22"/>
                <w:szCs w:val="22"/>
              </w:rPr>
              <w:t>igh-</w:t>
            </w:r>
            <w:r w:rsidRPr="00FE1828">
              <w:rPr>
                <w:rFonts w:asciiTheme="minorHAnsi" w:hAnsiTheme="minorHAnsi" w:cstheme="minorHAnsi"/>
                <w:b w:val="0"/>
                <w:color w:val="auto"/>
                <w:sz w:val="22"/>
                <w:szCs w:val="22"/>
              </w:rPr>
              <w:t>level descriptions of the pre-COVID</w:t>
            </w:r>
            <w:r w:rsidR="00FE1828">
              <w:rPr>
                <w:rFonts w:asciiTheme="minorHAnsi" w:hAnsiTheme="minorHAnsi" w:cstheme="minorHAnsi"/>
                <w:b w:val="0"/>
                <w:color w:val="auto"/>
                <w:sz w:val="22"/>
                <w:szCs w:val="22"/>
              </w:rPr>
              <w:t>-19</w:t>
            </w:r>
            <w:r w:rsidRPr="00FE1828">
              <w:rPr>
                <w:rFonts w:asciiTheme="minorHAnsi" w:hAnsiTheme="minorHAnsi" w:cstheme="minorHAnsi"/>
                <w:b w:val="0"/>
                <w:color w:val="auto"/>
                <w:sz w:val="22"/>
                <w:szCs w:val="22"/>
              </w:rPr>
              <w:t xml:space="preserve"> services the NWD agencies deliver</w:t>
            </w:r>
          </w:p>
          <w:p w14:paraId="7FB17B3A" w14:textId="6E127260" w:rsidR="00FE1828" w:rsidRPr="0022181E" w:rsidRDefault="00FE1828" w:rsidP="0022181E">
            <w:pPr>
              <w:pStyle w:val="ListParagraph"/>
              <w:numPr>
                <w:ilvl w:val="0"/>
                <w:numId w:val="34"/>
              </w:numPr>
              <w:spacing w:after="0"/>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b w:val="0"/>
                <w:color w:val="auto"/>
                <w:sz w:val="22"/>
                <w:szCs w:val="22"/>
              </w:rPr>
              <w:t>Areas in the state that have been most heavily impacted</w:t>
            </w:r>
            <w:bookmarkStart w:id="0" w:name="_GoBack"/>
            <w:bookmarkEnd w:id="0"/>
          </w:p>
        </w:tc>
      </w:tr>
      <w:tr w:rsidR="000536C9" w:rsidRPr="00C53C21" w14:paraId="1C1533EF" w14:textId="77777777" w:rsidTr="00FE18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 w:type="dxa"/>
            <w:tcBorders>
              <w:top w:val="none" w:sz="0" w:space="0" w:color="auto"/>
              <w:left w:val="none" w:sz="0" w:space="0" w:color="auto"/>
              <w:bottom w:val="none" w:sz="0" w:space="0" w:color="auto"/>
              <w:right w:val="none" w:sz="0" w:space="0" w:color="auto"/>
            </w:tcBorders>
            <w:shd w:val="clear" w:color="auto" w:fill="004250" w:themeFill="accent1"/>
            <w:vAlign w:val="top"/>
            <w:hideMark/>
          </w:tcPr>
          <w:p w14:paraId="04077257" w14:textId="5A183961" w:rsidR="000536C9" w:rsidRPr="00C53C21" w:rsidRDefault="000536C9" w:rsidP="008C00B4">
            <w:pPr>
              <w:spacing w:after="0"/>
              <w:rPr>
                <w:rFonts w:asciiTheme="minorHAnsi" w:hAnsiTheme="minorHAnsi" w:cstheme="minorHAnsi"/>
                <w:sz w:val="22"/>
                <w:szCs w:val="22"/>
              </w:rPr>
            </w:pPr>
            <w:r w:rsidRPr="00C53C21">
              <w:rPr>
                <w:rFonts w:asciiTheme="minorHAnsi" w:hAnsiTheme="minorHAnsi" w:cstheme="minorHAnsi"/>
                <w:sz w:val="22"/>
                <w:szCs w:val="22"/>
              </w:rPr>
              <w:lastRenderedPageBreak/>
              <w:t>T</w:t>
            </w:r>
            <w:r w:rsidR="00FE1828">
              <w:rPr>
                <w:rFonts w:asciiTheme="minorHAnsi" w:hAnsiTheme="minorHAnsi" w:cstheme="minorHAnsi"/>
                <w:sz w:val="22"/>
                <w:szCs w:val="22"/>
              </w:rPr>
              <w:t>alk with Partners</w:t>
            </w:r>
          </w:p>
        </w:tc>
        <w:tc>
          <w:tcPr>
            <w:tcW w:w="8103" w:type="dxa"/>
            <w:tcBorders>
              <w:top w:val="none" w:sz="0" w:space="0" w:color="auto"/>
              <w:left w:val="none" w:sz="0" w:space="0" w:color="auto"/>
              <w:bottom w:val="none" w:sz="0" w:space="0" w:color="auto"/>
              <w:right w:val="none" w:sz="0" w:space="0" w:color="auto"/>
            </w:tcBorders>
            <w:shd w:val="clear" w:color="auto" w:fill="auto"/>
            <w:vAlign w:val="top"/>
          </w:tcPr>
          <w:p w14:paraId="7A77EC61" w14:textId="678FC1B2" w:rsidR="000536C9" w:rsidRPr="000536C9" w:rsidRDefault="00FE1828" w:rsidP="000536C9">
            <w:p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 xml:space="preserve">As you complete the assessment, </w:t>
            </w:r>
            <w:r w:rsidR="000536C9">
              <w:rPr>
                <w:rFonts w:asciiTheme="minorHAnsi" w:hAnsiTheme="minorHAnsi" w:cstheme="minorHAnsi"/>
                <w:sz w:val="22"/>
                <w:szCs w:val="22"/>
              </w:rPr>
              <w:t xml:space="preserve">it may help to talk with </w:t>
            </w:r>
            <w:r>
              <w:rPr>
                <w:rFonts w:asciiTheme="minorHAnsi" w:hAnsiTheme="minorHAnsi" w:cstheme="minorHAnsi"/>
                <w:sz w:val="22"/>
                <w:szCs w:val="22"/>
              </w:rPr>
              <w:t>the following people and organizations. It may be helpful to collaborate with many of these groups when developing your strategy and as responding to COVID-19.</w:t>
            </w:r>
          </w:p>
          <w:p w14:paraId="1FD532E2" w14:textId="5381D21C" w:rsidR="000536C9" w:rsidRDefault="000536C9" w:rsidP="000536C9">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ADRCs and partner organizations providing direct services to individuals</w:t>
            </w:r>
            <w:r w:rsidRPr="00C53C21">
              <w:rPr>
                <w:rFonts w:asciiTheme="minorHAnsi" w:hAnsiTheme="minorHAnsi" w:cstheme="minorHAnsi"/>
                <w:sz w:val="22"/>
                <w:szCs w:val="22"/>
              </w:rPr>
              <w:t xml:space="preserve"> </w:t>
            </w:r>
            <w:r w:rsidR="00413D71">
              <w:rPr>
                <w:rFonts w:asciiTheme="minorHAnsi" w:hAnsiTheme="minorHAnsi" w:cstheme="minorHAnsi"/>
                <w:sz w:val="22"/>
                <w:szCs w:val="22"/>
              </w:rPr>
              <w:t>or providing pre-COVID 19 services in congregate settings</w:t>
            </w:r>
          </w:p>
          <w:p w14:paraId="26251221" w14:textId="2DE75C85" w:rsidR="000536C9" w:rsidRPr="000536C9" w:rsidRDefault="000536C9" w:rsidP="000536C9">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sidRPr="000536C9">
              <w:rPr>
                <w:rFonts w:asciiTheme="minorHAnsi" w:hAnsiTheme="minorHAnsi" w:cstheme="minorHAnsi"/>
                <w:sz w:val="22"/>
                <w:szCs w:val="22"/>
              </w:rPr>
              <w:t>COVID Response Leadership Team, including State Medicaid Agency, State Unit on Aging, and other state health agencies</w:t>
            </w:r>
          </w:p>
          <w:p w14:paraId="4708359D" w14:textId="77777777" w:rsidR="00FE1828" w:rsidRDefault="00FE1828" w:rsidP="008C00B4">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Hospitals</w:t>
            </w:r>
          </w:p>
          <w:p w14:paraId="31796CA6" w14:textId="200173CC" w:rsidR="00C17BAB" w:rsidRDefault="00FE1828" w:rsidP="00C17BAB">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N</w:t>
            </w:r>
            <w:r w:rsidR="000536C9">
              <w:rPr>
                <w:rFonts w:asciiTheme="minorHAnsi" w:hAnsiTheme="minorHAnsi" w:cstheme="minorHAnsi"/>
                <w:sz w:val="22"/>
                <w:szCs w:val="22"/>
              </w:rPr>
              <w:t>ursing facilities</w:t>
            </w:r>
          </w:p>
          <w:p w14:paraId="72C40E61" w14:textId="767E3BEB" w:rsidR="00544D34" w:rsidRDefault="00544D34" w:rsidP="00C17BAB">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LTSS community-based service providers</w:t>
            </w:r>
          </w:p>
          <w:p w14:paraId="2CBA1A1F" w14:textId="170B9E0C" w:rsidR="00C17BAB" w:rsidRPr="008A5800" w:rsidRDefault="00C17BAB" w:rsidP="008A5800">
            <w:pPr>
              <w:spacing w:after="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sidRPr="008A5800">
              <w:rPr>
                <w:rFonts w:asciiTheme="minorHAnsi" w:hAnsiTheme="minorHAnsi" w:cstheme="minorHAnsi"/>
                <w:sz w:val="22"/>
                <w:szCs w:val="22"/>
              </w:rPr>
              <w:t>As you gather information, it will also be helpful to talk with individuals in the target population and their caregivers.</w:t>
            </w:r>
          </w:p>
        </w:tc>
      </w:tr>
    </w:tbl>
    <w:p w14:paraId="3A9AF7AF" w14:textId="13F0A9BD" w:rsidR="004E1CD3" w:rsidRDefault="00F92DE5" w:rsidP="008A5800">
      <w:pPr>
        <w:pStyle w:val="Heading2"/>
        <w:spacing w:before="240"/>
      </w:pPr>
      <w:bookmarkStart w:id="1" w:name="_Hlk38204955"/>
      <w:r>
        <w:t>Review your assessment findings</w:t>
      </w:r>
    </w:p>
    <w:p w14:paraId="577F3CD1" w14:textId="164DF31C" w:rsidR="00236B4F" w:rsidRDefault="00236B4F" w:rsidP="004E1CD3">
      <w:r>
        <w:t>Each assessment includes a series of items; check “yes”, “no”, or “</w:t>
      </w:r>
      <w:r>
        <w:t>i</w:t>
      </w:r>
      <w:r>
        <w:t>n progress”</w:t>
      </w:r>
      <w:r>
        <w:t>, or “not applicable”</w:t>
      </w:r>
      <w:r>
        <w:t xml:space="preserve"> to indicate whether your state or local site has accomplished that item.</w:t>
      </w:r>
    </w:p>
    <w:p w14:paraId="6E3FF215" w14:textId="77777777" w:rsidR="00236B4F" w:rsidRPr="00236B4F" w:rsidRDefault="00236B4F" w:rsidP="00236B4F">
      <w:pPr>
        <w:pStyle w:val="ListParagraph"/>
        <w:numPr>
          <w:ilvl w:val="0"/>
          <w:numId w:val="37"/>
        </w:numPr>
        <w:spacing w:after="120"/>
      </w:pPr>
      <w:r w:rsidRPr="00236B4F">
        <w:t>Yes: The state or local entity has fully completed the item</w:t>
      </w:r>
    </w:p>
    <w:p w14:paraId="2636EF04" w14:textId="77777777" w:rsidR="00236B4F" w:rsidRPr="00236B4F" w:rsidRDefault="00236B4F" w:rsidP="00236B4F">
      <w:pPr>
        <w:pStyle w:val="ListParagraph"/>
        <w:numPr>
          <w:ilvl w:val="0"/>
          <w:numId w:val="37"/>
        </w:numPr>
        <w:spacing w:after="120"/>
      </w:pPr>
      <w:r w:rsidRPr="00236B4F">
        <w:t>In Progress: The state or local entity has partially completed the item</w:t>
      </w:r>
    </w:p>
    <w:p w14:paraId="247C28C6" w14:textId="77777777" w:rsidR="00236B4F" w:rsidRPr="00236B4F" w:rsidRDefault="00236B4F" w:rsidP="00236B4F">
      <w:pPr>
        <w:pStyle w:val="ListParagraph"/>
        <w:numPr>
          <w:ilvl w:val="0"/>
          <w:numId w:val="37"/>
        </w:numPr>
        <w:spacing w:after="120"/>
      </w:pPr>
      <w:r w:rsidRPr="00236B4F">
        <w:t>No: The state or local entity has not begun completing the item</w:t>
      </w:r>
    </w:p>
    <w:p w14:paraId="4A34EFDF" w14:textId="77777777" w:rsidR="00236B4F" w:rsidRPr="00236B4F" w:rsidRDefault="00236B4F" w:rsidP="00236B4F">
      <w:pPr>
        <w:pStyle w:val="ListParagraph"/>
        <w:numPr>
          <w:ilvl w:val="0"/>
          <w:numId w:val="37"/>
        </w:numPr>
        <w:spacing w:after="120"/>
      </w:pPr>
      <w:r w:rsidRPr="00236B4F">
        <w:t>Not Applicable: The state or local entity does not plan to address the item, or the item does not apply to the state or local operations or structure</w:t>
      </w:r>
    </w:p>
    <w:p w14:paraId="661CCFC3" w14:textId="5AD756EE" w:rsidR="004E1CD3" w:rsidRPr="00C53C21" w:rsidRDefault="00236B4F" w:rsidP="00236B4F">
      <w:pPr>
        <w:spacing w:after="120"/>
      </w:pPr>
      <w:r w:rsidRPr="00236B4F">
        <w:t xml:space="preserve">For each question, there is no “right” or “wrong” answer; ACL does not expect that states will have completed all items. Instead, this assessment is meant to foster state and local reflection and lead to positive action, when appropriate. </w:t>
      </w:r>
      <w:r>
        <w:t>There</w:t>
      </w:r>
      <w:r w:rsidR="004E1CD3">
        <w:t xml:space="preserve"> are </w:t>
      </w:r>
      <w:r w:rsidR="004E1CD3" w:rsidRPr="008C00B4">
        <w:rPr>
          <w:b/>
        </w:rPr>
        <w:t>links and promising practices</w:t>
      </w:r>
      <w:r w:rsidR="004E1CD3">
        <w:t xml:space="preserve"> throughout the assessments to help you </w:t>
      </w:r>
      <w:r>
        <w:t xml:space="preserve">address certain </w:t>
      </w:r>
      <w:r w:rsidR="004E1CD3">
        <w:t>items. You may also reach out to ACL for further assistance.</w:t>
      </w:r>
      <w:r w:rsidR="00694C07">
        <w:t xml:space="preserve"> Because states have limited resources and capacity, it may not be feasible for states to fully complete all items on the checklists. However, the items are suggestions and starting points for dialogue around effective COVID-19 response.</w:t>
      </w:r>
    </w:p>
    <w:p w14:paraId="0C7ED34A" w14:textId="0AAE181C" w:rsidR="004E1CD3" w:rsidRDefault="004E1CD3" w:rsidP="004856BD">
      <w:pPr>
        <w:autoSpaceDE w:val="0"/>
        <w:autoSpaceDN w:val="0"/>
        <w:adjustRightInd w:val="0"/>
        <w:spacing w:after="120" w:line="243" w:lineRule="auto"/>
        <w:ind w:right="108"/>
      </w:pPr>
      <w:r>
        <w:t xml:space="preserve">ADvancing States has also compiled a </w:t>
      </w:r>
      <w:hyperlink r:id="rId8" w:history="1">
        <w:r w:rsidRPr="004E1CD3">
          <w:rPr>
            <w:rStyle w:val="Hyperlink"/>
          </w:rPr>
          <w:t>list of COVID-19 resources and guidance</w:t>
        </w:r>
      </w:hyperlink>
      <w:r>
        <w:t xml:space="preserve"> from state health departments and agencies. This repository could be helpful to identify practices from other states that you may want to emulate.</w:t>
      </w:r>
      <w:r w:rsidR="002E5A56">
        <w:t xml:space="preserve"> </w:t>
      </w:r>
    </w:p>
    <w:bookmarkEnd w:id="1"/>
    <w:p w14:paraId="32ECEF26" w14:textId="269F44CF" w:rsidR="008C00B4" w:rsidRDefault="00FE1828" w:rsidP="008C00B4">
      <w:pPr>
        <w:pStyle w:val="Heading2"/>
      </w:pPr>
      <w:r>
        <w:rPr>
          <w:noProof/>
        </w:rPr>
        <w:drawing>
          <wp:anchor distT="0" distB="0" distL="114300" distR="114300" simplePos="0" relativeHeight="251658240" behindDoc="1" locked="0" layoutInCell="1" allowOverlap="1" wp14:anchorId="340778DD" wp14:editId="038E5616">
            <wp:simplePos x="0" y="0"/>
            <wp:positionH relativeFrom="column">
              <wp:posOffset>3855085</wp:posOffset>
            </wp:positionH>
            <wp:positionV relativeFrom="paragraph">
              <wp:posOffset>201930</wp:posOffset>
            </wp:positionV>
            <wp:extent cx="2091055" cy="1619885"/>
            <wp:effectExtent l="0" t="0" r="4445" b="0"/>
            <wp:wrapTight wrapText="bothSides">
              <wp:wrapPolygon edited="0">
                <wp:start x="0" y="0"/>
                <wp:lineTo x="0" y="21338"/>
                <wp:lineTo x="21449" y="21338"/>
                <wp:lineTo x="2144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l="8128" r="9016" b="7018"/>
                    <a:stretch/>
                  </pic:blipFill>
                  <pic:spPr bwMode="auto">
                    <a:xfrm>
                      <a:off x="0" y="0"/>
                      <a:ext cx="2091055" cy="1619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C00B4">
        <w:t>What</w:t>
      </w:r>
      <w:r w:rsidR="000536C9">
        <w:t>’s</w:t>
      </w:r>
      <w:r w:rsidR="008C00B4">
        <w:t xml:space="preserve"> next?</w:t>
      </w:r>
    </w:p>
    <w:p w14:paraId="011D09C5" w14:textId="77777777" w:rsidR="002E5A56" w:rsidRDefault="004856BD" w:rsidP="00C17BAB">
      <w:pPr>
        <w:spacing w:after="160" w:line="259" w:lineRule="auto"/>
      </w:pPr>
      <w:r>
        <w:t xml:space="preserve">Responding to a pandemic requires a strategy which includes four phases of emergency management: </w:t>
      </w:r>
      <w:r w:rsidRPr="00E271A8">
        <w:rPr>
          <w:b/>
        </w:rPr>
        <w:t>response, recovery, mitigation and preparedness</w:t>
      </w:r>
      <w:r>
        <w:t xml:space="preserve">. The majority of this rapid assessment includes considerations for the </w:t>
      </w:r>
      <w:r w:rsidRPr="00E271A8">
        <w:rPr>
          <w:i/>
        </w:rPr>
        <w:t>response</w:t>
      </w:r>
      <w:r>
        <w:t xml:space="preserve"> phase as most of the country grapples with the impact of active disease and social distancing measures. States will also need to consider how they will mobilize for recovery, mitigation</w:t>
      </w:r>
      <w:r w:rsidR="00E271A8">
        <w:t>,</w:t>
      </w:r>
      <w:r>
        <w:t xml:space="preserve"> and preparedness. </w:t>
      </w:r>
      <w:r w:rsidR="003C6718">
        <w:t>Section 1</w:t>
      </w:r>
      <w:r w:rsidR="00EA7383">
        <w:t xml:space="preserve"> </w:t>
      </w:r>
      <w:r w:rsidR="003C6718">
        <w:t xml:space="preserve">of this </w:t>
      </w:r>
      <w:r w:rsidR="00EA7383">
        <w:t>assessment address</w:t>
      </w:r>
      <w:r w:rsidR="00694C07">
        <w:t>es</w:t>
      </w:r>
      <w:r w:rsidR="00EA7383">
        <w:t xml:space="preserve"> </w:t>
      </w:r>
      <w:r>
        <w:t xml:space="preserve">considerations for the recovery and mitigation phases. </w:t>
      </w:r>
    </w:p>
    <w:p w14:paraId="3C64420B" w14:textId="4732C0D8" w:rsidR="00351C9A" w:rsidRPr="004856BD" w:rsidRDefault="002E5A56" w:rsidP="00C17BAB">
      <w:pPr>
        <w:spacing w:after="160" w:line="259" w:lineRule="auto"/>
      </w:pPr>
      <w:r>
        <w:lastRenderedPageBreak/>
        <w:t xml:space="preserve">You may also find the </w:t>
      </w:r>
      <w:hyperlink r:id="rId10" w:history="1">
        <w:r w:rsidRPr="002E5A56">
          <w:rPr>
            <w:rStyle w:val="Hyperlink"/>
          </w:rPr>
          <w:t>Capacity-Building Toolkit for Aging and Disability Networks in Emergency Planning</w:t>
        </w:r>
      </w:hyperlink>
      <w:r>
        <w:t xml:space="preserve"> helpful as  you consider the four stages of emergency management. This toolkit was developed through a collaboration across The National Association of County and City Health Officials (NACCHO), the Association of State and Territorial Health Officials, the Assistant Secretary for Preparedness and Response, and ACL.</w:t>
      </w:r>
    </w:p>
    <w:sectPr w:rsidR="00351C9A" w:rsidRPr="004856BD" w:rsidSect="004C1ABF">
      <w:headerReference w:type="default" r:id="rId11"/>
      <w:footerReference w:type="default" r:id="rId12"/>
      <w:headerReference w:type="first" r:id="rId13"/>
      <w:footerReference w:type="first" r:id="rId14"/>
      <w:pgSz w:w="12240" w:h="15840" w:code="1"/>
      <w:pgMar w:top="1440" w:right="1440" w:bottom="1440" w:left="1440" w:header="720" w:footer="576" w:gutter="0"/>
      <w:pgNumType w:start="1"/>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C3D25" w16cex:dateUtc="2020-04-23T20:13:00Z"/>
  <w16cex:commentExtensible w16cex:durableId="224C4704" w16cex:dateUtc="2020-04-23T20:55:00Z"/>
  <w16cex:commentExtensible w16cex:durableId="224C46AC" w16cex:dateUtc="2020-04-23T20:54:00Z"/>
  <w16cex:commentExtensible w16cex:durableId="224C4662" w16cex:dateUtc="2020-04-23T20:52:00Z"/>
  <w16cex:commentExtensible w16cex:durableId="224C46EB" w16cex:dateUtc="2020-04-23T20:55:00Z"/>
  <w16cex:commentExtensible w16cex:durableId="224C41C6" w16cex:dateUtc="2020-04-23T20: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B5E9127" w16cid:durableId="224C02D2"/>
  <w16cid:commentId w16cid:paraId="05D5EBCC" w16cid:durableId="224C3D25"/>
  <w16cid:commentId w16cid:paraId="10C81D36" w16cid:durableId="224C02D3"/>
  <w16cid:commentId w16cid:paraId="4C065050" w16cid:durableId="224C02D7"/>
  <w16cid:commentId w16cid:paraId="403AD2BE" w16cid:durableId="224C4704"/>
  <w16cid:commentId w16cid:paraId="5A6D833E" w16cid:durableId="224C46AC"/>
  <w16cid:commentId w16cid:paraId="12BAD828" w16cid:durableId="224C4662"/>
  <w16cid:commentId w16cid:paraId="7791B116" w16cid:durableId="224C02DA"/>
  <w16cid:commentId w16cid:paraId="75DC6253" w16cid:durableId="224C46EB"/>
  <w16cid:commentId w16cid:paraId="0925992D" w16cid:durableId="224C02DB"/>
  <w16cid:commentId w16cid:paraId="4A5155C2" w16cid:durableId="224C41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BA876E" w14:textId="77777777" w:rsidR="000A3CC0" w:rsidRDefault="000A3CC0">
      <w:r>
        <w:separator/>
      </w:r>
    </w:p>
  </w:endnote>
  <w:endnote w:type="continuationSeparator" w:id="0">
    <w:p w14:paraId="6608F95A" w14:textId="77777777" w:rsidR="000A3CC0" w:rsidRDefault="000A3C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BookAntiqu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4D"/>
    <w:family w:val="auto"/>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83F1A" w14:textId="780B75B1" w:rsidR="00663EB2" w:rsidRPr="00FE5DCD" w:rsidRDefault="00236B4F" w:rsidP="00FE5DCD">
    <w:pPr>
      <w:pStyle w:val="Footer"/>
    </w:pPr>
    <w:r w:rsidRPr="00BD7A0A">
      <w:rPr>
        <w:noProof/>
      </w:rPr>
      <w:drawing>
        <wp:anchor distT="0" distB="0" distL="114300" distR="114300" simplePos="0" relativeHeight="251677184" behindDoc="1" locked="0" layoutInCell="1" allowOverlap="1" wp14:anchorId="6AAEFB96" wp14:editId="3E941D68">
          <wp:simplePos x="0" y="0"/>
          <wp:positionH relativeFrom="column">
            <wp:posOffset>0</wp:posOffset>
          </wp:positionH>
          <wp:positionV relativeFrom="paragraph">
            <wp:posOffset>-286385</wp:posOffset>
          </wp:positionV>
          <wp:extent cx="521335" cy="548640"/>
          <wp:effectExtent l="133350" t="114300" r="316865" b="327660"/>
          <wp:wrapTight wrapText="bothSides">
            <wp:wrapPolygon edited="0">
              <wp:start x="3946" y="-4500"/>
              <wp:lineTo x="-5525" y="-3000"/>
              <wp:lineTo x="-4736" y="23250"/>
              <wp:lineTo x="7104" y="33750"/>
              <wp:lineTo x="20521" y="33750"/>
              <wp:lineTo x="21311" y="32250"/>
              <wp:lineTo x="33150" y="21750"/>
              <wp:lineTo x="33939" y="6750"/>
              <wp:lineTo x="23678" y="-3000"/>
              <wp:lineTo x="21311" y="-4500"/>
              <wp:lineTo x="3946" y="-4500"/>
            </wp:wrapPolygon>
          </wp:wrapTight>
          <wp:docPr id="2" name="Content Placehold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ent Placeholder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1335" cy="54864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663EB2">
      <w:tab/>
    </w:r>
    <w:r w:rsidR="00663EB2">
      <w:tab/>
    </w:r>
    <w:r w:rsidR="00A530EA">
      <w:rPr>
        <w:rStyle w:val="PageNumber"/>
        <w:noProof/>
        <w:szCs w:val="20"/>
      </w:rPr>
      <w:t>2</w:t>
    </w:r>
    <w:r w:rsidR="00663EB2">
      <w:rPr>
        <w:noProof/>
        <w:sz w:val="20"/>
      </w:rPr>
      <w:br/>
    </w:r>
    <w:r w:rsidR="00663EB2">
      <w:rPr>
        <w:noProof/>
        <w:sz w:val="20"/>
      </w:rPr>
      <w:tab/>
    </w:r>
    <w:r w:rsidR="00663EB2">
      <w:rPr>
        <w:i/>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2654B" w14:textId="0A64A6B3" w:rsidR="00663EB2" w:rsidRDefault="00236B4F">
    <w:pPr>
      <w:pStyle w:val="Footer"/>
    </w:pPr>
    <w:r w:rsidRPr="00BD7A0A">
      <w:rPr>
        <w:noProof/>
      </w:rPr>
      <w:drawing>
        <wp:anchor distT="0" distB="0" distL="114300" distR="114300" simplePos="0" relativeHeight="251675136" behindDoc="1" locked="0" layoutInCell="1" allowOverlap="1" wp14:anchorId="525BC7D7" wp14:editId="4C5B6D69">
          <wp:simplePos x="0" y="0"/>
          <wp:positionH relativeFrom="column">
            <wp:posOffset>-77372</wp:posOffset>
          </wp:positionH>
          <wp:positionV relativeFrom="paragraph">
            <wp:posOffset>-230114</wp:posOffset>
          </wp:positionV>
          <wp:extent cx="521335" cy="548640"/>
          <wp:effectExtent l="133350" t="114300" r="316865" b="327660"/>
          <wp:wrapTight wrapText="bothSides">
            <wp:wrapPolygon edited="0">
              <wp:start x="3946" y="-4500"/>
              <wp:lineTo x="-5525" y="-3000"/>
              <wp:lineTo x="-4736" y="23250"/>
              <wp:lineTo x="7104" y="33750"/>
              <wp:lineTo x="20521" y="33750"/>
              <wp:lineTo x="21311" y="32250"/>
              <wp:lineTo x="33150" y="21750"/>
              <wp:lineTo x="33939" y="6750"/>
              <wp:lineTo x="23678" y="-3000"/>
              <wp:lineTo x="21311" y="-4500"/>
              <wp:lineTo x="3946" y="-4500"/>
            </wp:wrapPolygon>
          </wp:wrapTight>
          <wp:docPr id="6" name="Content Placehold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ent Placeholder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1335" cy="54864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663EB2">
      <w:tab/>
    </w:r>
    <w:r w:rsidR="00663EB2">
      <w:tab/>
    </w:r>
    <w:r w:rsidR="00A530EA">
      <w:rPr>
        <w:rStyle w:val="PageNumber"/>
        <w:noProof/>
        <w:szCs w:val="20"/>
      </w:rPr>
      <w:t>1</w:t>
    </w:r>
    <w:r w:rsidR="00663EB2">
      <w:rPr>
        <w:noProof/>
        <w:sz w:val="20"/>
      </w:rPr>
      <w:br/>
    </w:r>
    <w:r w:rsidR="00663EB2">
      <w:rPr>
        <w:noProof/>
        <w:sz w:val="20"/>
      </w:rPr>
      <w:tab/>
    </w:r>
    <w:r w:rsidR="00663EB2">
      <w:rPr>
        <w:i/>
      </w:rPr>
      <w:tab/>
    </w:r>
    <w:r w:rsidR="00663EB2">
      <w:rPr>
        <w:noProof/>
      </w:rPr>
      <w:drawing>
        <wp:anchor distT="0" distB="0" distL="114300" distR="114300" simplePos="0" relativeHeight="251673088" behindDoc="0" locked="0" layoutInCell="1" allowOverlap="1" wp14:anchorId="525F48CC" wp14:editId="2C7890E1">
          <wp:simplePos x="0" y="0"/>
          <wp:positionH relativeFrom="column">
            <wp:posOffset>898525</wp:posOffset>
          </wp:positionH>
          <wp:positionV relativeFrom="paragraph">
            <wp:posOffset>9253220</wp:posOffset>
          </wp:positionV>
          <wp:extent cx="1250950" cy="292100"/>
          <wp:effectExtent l="0" t="0" r="6350" b="0"/>
          <wp:wrapNone/>
          <wp:docPr id="13"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0950" cy="292100"/>
                  </a:xfrm>
                  <a:prstGeom prst="rect">
                    <a:avLst/>
                  </a:prstGeom>
                  <a:noFill/>
                  <a:ln>
                    <a:noFill/>
                  </a:ln>
                </pic:spPr>
              </pic:pic>
            </a:graphicData>
          </a:graphic>
          <wp14:sizeRelH relativeFrom="page">
            <wp14:pctWidth>0</wp14:pctWidth>
          </wp14:sizeRelH>
          <wp14:sizeRelV relativeFrom="page">
            <wp14:pctHeight>0</wp14:pctHeight>
          </wp14:sizeRelV>
        </wp:anchor>
      </w:drawing>
    </w:r>
    <w:r w:rsidR="00663EB2">
      <w:rPr>
        <w:noProof/>
      </w:rPr>
      <w:drawing>
        <wp:anchor distT="0" distB="0" distL="114300" distR="114300" simplePos="0" relativeHeight="251672064" behindDoc="0" locked="0" layoutInCell="1" allowOverlap="1" wp14:anchorId="285AC841" wp14:editId="3DC12826">
          <wp:simplePos x="0" y="0"/>
          <wp:positionH relativeFrom="column">
            <wp:posOffset>898525</wp:posOffset>
          </wp:positionH>
          <wp:positionV relativeFrom="paragraph">
            <wp:posOffset>9253220</wp:posOffset>
          </wp:positionV>
          <wp:extent cx="1250950" cy="292100"/>
          <wp:effectExtent l="0" t="0" r="6350" b="0"/>
          <wp:wrapNone/>
          <wp:docPr id="14"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0950" cy="2921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78D122" w14:textId="77777777" w:rsidR="000A3CC0" w:rsidRDefault="000A3CC0">
      <w:r>
        <w:separator/>
      </w:r>
    </w:p>
  </w:footnote>
  <w:footnote w:type="continuationSeparator" w:id="0">
    <w:p w14:paraId="6AFE7D57" w14:textId="77777777" w:rsidR="000A3CC0" w:rsidRDefault="000A3C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5BAE9" w14:textId="703C2BC2" w:rsidR="00663EB2" w:rsidRPr="001E02D2" w:rsidRDefault="00C45B09" w:rsidP="001C5B15">
    <w:pPr>
      <w:pStyle w:val="Header"/>
      <w:jc w:val="right"/>
    </w:pPr>
    <w:r>
      <w:t>NWD System Rapid Assessments</w:t>
    </w:r>
    <w:r w:rsidR="00236B4F">
      <w:t>: Introduction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A266" w14:textId="77777777" w:rsidR="00663EB2" w:rsidRPr="004C1ABF" w:rsidRDefault="00663EB2" w:rsidP="004C1ABF">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BD8CD5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A20756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B4F47F08"/>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0781FD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0E5C36D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AC44FE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09CE94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82AA4DF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4B88A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A9CEC5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3962A3"/>
    <w:multiLevelType w:val="hybridMultilevel"/>
    <w:tmpl w:val="A1E8DA9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BA4E0E"/>
    <w:multiLevelType w:val="hybridMultilevel"/>
    <w:tmpl w:val="800E1A94"/>
    <w:lvl w:ilvl="0" w:tplc="F65026FE">
      <w:start w:val="5"/>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D91294F"/>
    <w:multiLevelType w:val="hybridMultilevel"/>
    <w:tmpl w:val="EB40A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3" w15:restartNumberingAfterBreak="0">
    <w:nsid w:val="0D9966BF"/>
    <w:multiLevelType w:val="hybridMultilevel"/>
    <w:tmpl w:val="0B0E6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E9C3A66"/>
    <w:multiLevelType w:val="hybridMultilevel"/>
    <w:tmpl w:val="39503FEC"/>
    <w:lvl w:ilvl="0" w:tplc="F65026FE">
      <w:start w:val="5"/>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2003E30"/>
    <w:multiLevelType w:val="multilevel"/>
    <w:tmpl w:val="5F5A9A06"/>
    <w:lvl w:ilvl="0">
      <w:start w:val="1"/>
      <w:numFmt w:val="bullet"/>
      <w:pStyle w:val="Bullet"/>
      <w:lvlText w:val=""/>
      <w:lvlJc w:val="left"/>
      <w:pPr>
        <w:ind w:left="792" w:hanging="360"/>
      </w:pPr>
      <w:rPr>
        <w:rFonts w:ascii="Wingdings 2" w:hAnsi="Wingdings 2" w:hint="default"/>
        <w:b w:val="0"/>
        <w:i w:val="0"/>
        <w:caps w:val="0"/>
        <w:strike w:val="0"/>
        <w:dstrike w:val="0"/>
        <w:vanish w:val="0"/>
        <w:color w:val="4A8A9F" w:themeColor="accent2"/>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ind w:left="1512" w:hanging="360"/>
      </w:pPr>
      <w:rPr>
        <w:rFonts w:ascii="Symbol" w:hAnsi="Symbol" w:hint="default"/>
        <w:color w:val="4A8A9F" w:themeColor="accent2"/>
      </w:rPr>
    </w:lvl>
    <w:lvl w:ilvl="2">
      <w:start w:val="1"/>
      <w:numFmt w:val="bullet"/>
      <w:lvlText w:val=""/>
      <w:lvlJc w:val="left"/>
      <w:pPr>
        <w:ind w:left="2232" w:hanging="360"/>
      </w:pPr>
      <w:rPr>
        <w:rFonts w:ascii="Wingdings" w:hAnsi="Wingdings" w:hint="default"/>
        <w:color w:val="4A8A9F" w:themeColor="accent2"/>
      </w:rPr>
    </w:lvl>
    <w:lvl w:ilvl="3">
      <w:start w:val="1"/>
      <w:numFmt w:val="bullet"/>
      <w:lvlText w:val="▫"/>
      <w:lvlJc w:val="left"/>
      <w:pPr>
        <w:ind w:left="2952" w:hanging="360"/>
      </w:pPr>
      <w:rPr>
        <w:rFonts w:ascii="Times New Roman" w:hAnsi="Times New Roman" w:cs="Times New Roman" w:hint="default"/>
        <w:color w:val="4A8A9F" w:themeColor="accent2"/>
      </w:rPr>
    </w:lvl>
    <w:lvl w:ilvl="4">
      <w:start w:val="1"/>
      <w:numFmt w:val="bullet"/>
      <w:lvlText w:val="◦"/>
      <w:lvlJc w:val="left"/>
      <w:pPr>
        <w:ind w:left="3672" w:hanging="360"/>
      </w:pPr>
      <w:rPr>
        <w:rFonts w:ascii="Times New Roman" w:hAnsi="Times New Roman" w:cs="Times New Roman" w:hint="default"/>
      </w:rPr>
    </w:lvl>
    <w:lvl w:ilvl="5">
      <w:start w:val="1"/>
      <w:numFmt w:val="bullet"/>
      <w:lvlText w:val=""/>
      <w:lvlJc w:val="left"/>
      <w:pPr>
        <w:ind w:left="4392" w:hanging="360"/>
      </w:pPr>
      <w:rPr>
        <w:rFonts w:ascii="Wingdings" w:hAnsi="Wingdings" w:hint="default"/>
      </w:rPr>
    </w:lvl>
    <w:lvl w:ilvl="6">
      <w:start w:val="1"/>
      <w:numFmt w:val="bullet"/>
      <w:lvlText w:val=""/>
      <w:lvlJc w:val="left"/>
      <w:pPr>
        <w:ind w:left="5112" w:hanging="360"/>
      </w:pPr>
      <w:rPr>
        <w:rFonts w:ascii="Symbol" w:hAnsi="Symbol" w:hint="default"/>
      </w:rPr>
    </w:lvl>
    <w:lvl w:ilvl="7">
      <w:start w:val="1"/>
      <w:numFmt w:val="bullet"/>
      <w:lvlText w:val="o"/>
      <w:lvlJc w:val="left"/>
      <w:pPr>
        <w:ind w:left="5832" w:hanging="360"/>
      </w:pPr>
      <w:rPr>
        <w:rFonts w:ascii="Courier New" w:hAnsi="Courier New" w:hint="default"/>
      </w:rPr>
    </w:lvl>
    <w:lvl w:ilvl="8">
      <w:start w:val="1"/>
      <w:numFmt w:val="bullet"/>
      <w:lvlText w:val=""/>
      <w:lvlJc w:val="left"/>
      <w:pPr>
        <w:ind w:left="6552" w:hanging="360"/>
      </w:pPr>
      <w:rPr>
        <w:rFonts w:ascii="Wingdings" w:hAnsi="Wingdings" w:hint="default"/>
      </w:rPr>
    </w:lvl>
  </w:abstractNum>
  <w:abstractNum w:abstractNumId="16" w15:restartNumberingAfterBreak="0">
    <w:nsid w:val="1E182815"/>
    <w:multiLevelType w:val="hybridMultilevel"/>
    <w:tmpl w:val="DDE89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2328A6"/>
    <w:multiLevelType w:val="hybridMultilevel"/>
    <w:tmpl w:val="25626480"/>
    <w:lvl w:ilvl="0" w:tplc="F65026FE">
      <w:start w:val="5"/>
      <w:numFmt w:val="bullet"/>
      <w:lvlText w:val="-"/>
      <w:lvlJc w:val="left"/>
      <w:pPr>
        <w:ind w:left="720"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8" w15:restartNumberingAfterBreak="0">
    <w:nsid w:val="2A536178"/>
    <w:multiLevelType w:val="hybridMultilevel"/>
    <w:tmpl w:val="1B40E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D8169A3"/>
    <w:multiLevelType w:val="hybridMultilevel"/>
    <w:tmpl w:val="94DADEDC"/>
    <w:lvl w:ilvl="0" w:tplc="730859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2562AC"/>
    <w:multiLevelType w:val="hybridMultilevel"/>
    <w:tmpl w:val="560C62F2"/>
    <w:lvl w:ilvl="0" w:tplc="24B46796">
      <w:start w:val="1"/>
      <w:numFmt w:val="bullet"/>
      <w:lvlText w:val=""/>
      <w:lvlJc w:val="left"/>
      <w:pPr>
        <w:ind w:left="2520" w:hanging="360"/>
      </w:pPr>
      <w:rPr>
        <w:rFonts w:ascii="Wingdings 2" w:hAnsi="Wingdings 2" w:hint="default"/>
        <w:b w:val="0"/>
        <w:i w:val="0"/>
        <w:caps w:val="0"/>
        <w:strike w:val="0"/>
        <w:dstrike w:val="0"/>
        <w:vanish w:val="0"/>
        <w:color w:val="00267F"/>
        <w:sz w:val="20"/>
        <w:u w:val="none"/>
        <w:vertAlign w:val="baseline"/>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1" w15:restartNumberingAfterBreak="0">
    <w:nsid w:val="38DF0892"/>
    <w:multiLevelType w:val="hybridMultilevel"/>
    <w:tmpl w:val="7F86BAF2"/>
    <w:lvl w:ilvl="0" w:tplc="085023CA">
      <w:numFmt w:val="bullet"/>
      <w:lvlText w:val=""/>
      <w:lvlJc w:val="left"/>
      <w:pPr>
        <w:ind w:left="1080" w:hanging="360"/>
      </w:pPr>
      <w:rPr>
        <w:rFonts w:ascii="Symbol" w:hAnsi="Symbol" w:cs="Arial" w:hint="default"/>
        <w:color w:val="00267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AB03357"/>
    <w:multiLevelType w:val="hybridMultilevel"/>
    <w:tmpl w:val="8B6AED6E"/>
    <w:lvl w:ilvl="0" w:tplc="F65026FE">
      <w:start w:val="5"/>
      <w:numFmt w:val="bullet"/>
      <w:lvlText w:val="-"/>
      <w:lvlJc w:val="left"/>
      <w:pPr>
        <w:ind w:left="720"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C61964"/>
    <w:multiLevelType w:val="hybridMultilevel"/>
    <w:tmpl w:val="DE22456E"/>
    <w:lvl w:ilvl="0" w:tplc="E296146E">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13347A"/>
    <w:multiLevelType w:val="hybridMultilevel"/>
    <w:tmpl w:val="D3DC205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42AF7A07"/>
    <w:multiLevelType w:val="hybridMultilevel"/>
    <w:tmpl w:val="8C727BA2"/>
    <w:lvl w:ilvl="0" w:tplc="03344C6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921E66"/>
    <w:multiLevelType w:val="multilevel"/>
    <w:tmpl w:val="366C563E"/>
    <w:lvl w:ilvl="0">
      <w:start w:val="1"/>
      <w:numFmt w:val="bullet"/>
      <w:pStyle w:val="TableBullet"/>
      <w:lvlText w:val=""/>
      <w:lvlJc w:val="left"/>
      <w:pPr>
        <w:ind w:left="216" w:hanging="216"/>
      </w:pPr>
      <w:rPr>
        <w:rFonts w:ascii="Wingdings" w:hAnsi="Wingdings" w:hint="default"/>
        <w:color w:val="004250" w:themeColor="accent1"/>
      </w:rPr>
    </w:lvl>
    <w:lvl w:ilvl="1">
      <w:start w:val="1"/>
      <w:numFmt w:val="bullet"/>
      <w:lvlText w:val=""/>
      <w:lvlJc w:val="left"/>
      <w:pPr>
        <w:ind w:left="432" w:hanging="216"/>
      </w:pPr>
      <w:rPr>
        <w:rFonts w:ascii="Symbol" w:hAnsi="Symbol" w:hint="default"/>
        <w:color w:val="004250" w:themeColor="accent1"/>
        <w:sz w:val="18"/>
      </w:rPr>
    </w:lvl>
    <w:lvl w:ilvl="2">
      <w:start w:val="1"/>
      <w:numFmt w:val="bullet"/>
      <w:lvlText w:val=""/>
      <w:lvlJc w:val="left"/>
      <w:pPr>
        <w:ind w:left="648" w:hanging="216"/>
      </w:pPr>
      <w:rPr>
        <w:rFonts w:ascii="Wingdings" w:hAnsi="Wingdings" w:hint="default"/>
        <w:color w:val="004250" w:themeColor="accent1"/>
      </w:rPr>
    </w:lvl>
    <w:lvl w:ilvl="3">
      <w:start w:val="1"/>
      <w:numFmt w:val="bullet"/>
      <w:lvlText w:val=""/>
      <w:lvlJc w:val="left"/>
      <w:pPr>
        <w:ind w:left="864" w:hanging="216"/>
      </w:pPr>
      <w:rPr>
        <w:rFonts w:ascii="Symbol" w:hAnsi="Symbol" w:hint="default"/>
        <w:color w:val="004250" w:themeColor="accent1"/>
      </w:rPr>
    </w:lvl>
    <w:lvl w:ilvl="4">
      <w:start w:val="1"/>
      <w:numFmt w:val="bullet"/>
      <w:lvlText w:val=""/>
      <w:lvlJc w:val="left"/>
      <w:pPr>
        <w:ind w:left="1080" w:hanging="216"/>
      </w:pPr>
      <w:rPr>
        <w:rFonts w:ascii="Wingdings" w:hAnsi="Wingdings" w:hint="default"/>
        <w:color w:val="004250" w:themeColor="accent1"/>
      </w:rPr>
    </w:lvl>
    <w:lvl w:ilvl="5">
      <w:start w:val="1"/>
      <w:numFmt w:val="bullet"/>
      <w:lvlText w:val=""/>
      <w:lvlJc w:val="left"/>
      <w:pPr>
        <w:ind w:left="1296" w:hanging="216"/>
      </w:pPr>
      <w:rPr>
        <w:rFonts w:ascii="Symbol" w:hAnsi="Symbol" w:hint="default"/>
        <w:color w:val="004250" w:themeColor="accent1"/>
      </w:rPr>
    </w:lvl>
    <w:lvl w:ilvl="6">
      <w:start w:val="1"/>
      <w:numFmt w:val="bullet"/>
      <w:lvlText w:val="o"/>
      <w:lvlJc w:val="left"/>
      <w:pPr>
        <w:ind w:left="1512" w:hanging="216"/>
      </w:pPr>
      <w:rPr>
        <w:rFonts w:ascii="Courier New" w:hAnsi="Courier New" w:hint="default"/>
        <w:color w:val="004250" w:themeColor="accent1"/>
      </w:rPr>
    </w:lvl>
    <w:lvl w:ilvl="7">
      <w:start w:val="1"/>
      <w:numFmt w:val="bullet"/>
      <w:lvlText w:val=""/>
      <w:lvlJc w:val="left"/>
      <w:pPr>
        <w:ind w:left="1728" w:hanging="216"/>
      </w:pPr>
      <w:rPr>
        <w:rFonts w:ascii="Wingdings" w:hAnsi="Wingdings" w:hint="default"/>
        <w:color w:val="004250" w:themeColor="accent1"/>
      </w:rPr>
    </w:lvl>
    <w:lvl w:ilvl="8">
      <w:start w:val="1"/>
      <w:numFmt w:val="bullet"/>
      <w:lvlText w:val=""/>
      <w:lvlJc w:val="left"/>
      <w:pPr>
        <w:ind w:left="1944" w:hanging="216"/>
      </w:pPr>
      <w:rPr>
        <w:rFonts w:ascii="Symbol" w:hAnsi="Symbol" w:hint="default"/>
        <w:color w:val="004250" w:themeColor="accent1"/>
      </w:rPr>
    </w:lvl>
  </w:abstractNum>
  <w:abstractNum w:abstractNumId="27" w15:restartNumberingAfterBreak="0">
    <w:nsid w:val="4CD4387F"/>
    <w:multiLevelType w:val="hybridMultilevel"/>
    <w:tmpl w:val="1B3A01F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2944B36"/>
    <w:multiLevelType w:val="hybridMultilevel"/>
    <w:tmpl w:val="34EED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6A7939"/>
    <w:multiLevelType w:val="hybridMultilevel"/>
    <w:tmpl w:val="98C8C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116572"/>
    <w:multiLevelType w:val="hybridMultilevel"/>
    <w:tmpl w:val="4246FE08"/>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59170108"/>
    <w:multiLevelType w:val="multilevel"/>
    <w:tmpl w:val="C7CA33BA"/>
    <w:lvl w:ilvl="0">
      <w:start w:val="1"/>
      <w:numFmt w:val="bullet"/>
      <w:pStyle w:val="Call-outBoxBullet"/>
      <w:lvlText w:val=""/>
      <w:lvlJc w:val="left"/>
      <w:pPr>
        <w:ind w:left="288" w:hanging="288"/>
      </w:pPr>
      <w:rPr>
        <w:rFonts w:ascii="Symbol" w:hAnsi="Symbol" w:hint="default"/>
        <w:b w:val="0"/>
        <w:i w:val="0"/>
        <w:caps w:val="0"/>
        <w:strike w:val="0"/>
        <w:dstrike w:val="0"/>
        <w:vanish w:val="0"/>
        <w:color w:val="004250" w:themeColor="accent1"/>
        <w:sz w:val="20"/>
        <w:u w:val="none"/>
        <w:vertAlign w:val="baseline"/>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Symbol" w:hAnsi="Symbol" w:hint="defaul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hint="default"/>
      </w:rPr>
    </w:lvl>
  </w:abstractNum>
  <w:abstractNum w:abstractNumId="32" w15:restartNumberingAfterBreak="0">
    <w:nsid w:val="607528BA"/>
    <w:multiLevelType w:val="hybridMultilevel"/>
    <w:tmpl w:val="7B8AEC66"/>
    <w:lvl w:ilvl="0" w:tplc="E4704E1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135EC1"/>
    <w:multiLevelType w:val="hybridMultilevel"/>
    <w:tmpl w:val="CD5CBA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2E4F9F"/>
    <w:multiLevelType w:val="hybridMultilevel"/>
    <w:tmpl w:val="A47804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5" w15:restartNumberingAfterBreak="0">
    <w:nsid w:val="7A880E0B"/>
    <w:multiLevelType w:val="multilevel"/>
    <w:tmpl w:val="7A300C0C"/>
    <w:lvl w:ilvl="0">
      <w:start w:val="1"/>
      <w:numFmt w:val="decimal"/>
      <w:pStyle w:val="Numberedlist"/>
      <w:lvlText w:val="%1."/>
      <w:lvlJc w:val="left"/>
      <w:pPr>
        <w:ind w:left="864" w:hanging="432"/>
      </w:pPr>
      <w:rPr>
        <w:rFonts w:hint="default"/>
      </w:rPr>
    </w:lvl>
    <w:lvl w:ilvl="1">
      <w:start w:val="1"/>
      <w:numFmt w:val="lowerLetter"/>
      <w:lvlText w:val="%2."/>
      <w:lvlJc w:val="left"/>
      <w:pPr>
        <w:ind w:left="1584" w:hanging="432"/>
      </w:pPr>
      <w:rPr>
        <w:rFonts w:hint="default"/>
      </w:rPr>
    </w:lvl>
    <w:lvl w:ilvl="2">
      <w:start w:val="1"/>
      <w:numFmt w:val="lowerRoman"/>
      <w:lvlText w:val="%3."/>
      <w:lvlJc w:val="right"/>
      <w:pPr>
        <w:ind w:left="2304" w:hanging="432"/>
      </w:pPr>
      <w:rPr>
        <w:rFonts w:hint="default"/>
      </w:rPr>
    </w:lvl>
    <w:lvl w:ilvl="3">
      <w:start w:val="1"/>
      <w:numFmt w:val="decimal"/>
      <w:lvlText w:val="%4."/>
      <w:lvlJc w:val="left"/>
      <w:pPr>
        <w:ind w:left="3024" w:hanging="432"/>
      </w:pPr>
      <w:rPr>
        <w:rFonts w:hint="default"/>
      </w:rPr>
    </w:lvl>
    <w:lvl w:ilvl="4">
      <w:start w:val="1"/>
      <w:numFmt w:val="lowerLetter"/>
      <w:lvlText w:val="%5."/>
      <w:lvlJc w:val="left"/>
      <w:pPr>
        <w:ind w:left="3744" w:hanging="432"/>
      </w:pPr>
      <w:rPr>
        <w:rFonts w:hint="default"/>
      </w:rPr>
    </w:lvl>
    <w:lvl w:ilvl="5">
      <w:start w:val="1"/>
      <w:numFmt w:val="lowerRoman"/>
      <w:lvlText w:val="%6."/>
      <w:lvlJc w:val="right"/>
      <w:pPr>
        <w:ind w:left="4464" w:hanging="432"/>
      </w:pPr>
      <w:rPr>
        <w:rFonts w:hint="default"/>
      </w:rPr>
    </w:lvl>
    <w:lvl w:ilvl="6">
      <w:start w:val="1"/>
      <w:numFmt w:val="decimal"/>
      <w:lvlText w:val="%7."/>
      <w:lvlJc w:val="left"/>
      <w:pPr>
        <w:ind w:left="5184" w:hanging="432"/>
      </w:pPr>
      <w:rPr>
        <w:rFonts w:hint="default"/>
      </w:rPr>
    </w:lvl>
    <w:lvl w:ilvl="7">
      <w:start w:val="1"/>
      <w:numFmt w:val="lowerLetter"/>
      <w:lvlText w:val="%8."/>
      <w:lvlJc w:val="left"/>
      <w:pPr>
        <w:ind w:left="5904" w:hanging="432"/>
      </w:pPr>
      <w:rPr>
        <w:rFonts w:hint="default"/>
      </w:rPr>
    </w:lvl>
    <w:lvl w:ilvl="8">
      <w:start w:val="1"/>
      <w:numFmt w:val="lowerRoman"/>
      <w:lvlText w:val="%9."/>
      <w:lvlJc w:val="right"/>
      <w:pPr>
        <w:ind w:left="6624" w:hanging="432"/>
      </w:pPr>
      <w:rPr>
        <w:rFonts w:hint="default"/>
      </w:rPr>
    </w:lvl>
  </w:abstractNum>
  <w:num w:numId="1">
    <w:abstractNumId w:val="21"/>
  </w:num>
  <w:num w:numId="2">
    <w:abstractNumId w:val="15"/>
  </w:num>
  <w:num w:numId="3">
    <w:abstractNumId w:val="20"/>
  </w:num>
  <w:num w:numId="4">
    <w:abstractNumId w:val="31"/>
  </w:num>
  <w:num w:numId="5">
    <w:abstractNumId w:val="26"/>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9"/>
  </w:num>
  <w:num w:numId="19">
    <w:abstractNumId w:val="25"/>
  </w:num>
  <w:num w:numId="20">
    <w:abstractNumId w:val="13"/>
  </w:num>
  <w:num w:numId="21">
    <w:abstractNumId w:val="34"/>
  </w:num>
  <w:num w:numId="22">
    <w:abstractNumId w:val="33"/>
  </w:num>
  <w:num w:numId="23">
    <w:abstractNumId w:val="23"/>
  </w:num>
  <w:num w:numId="24">
    <w:abstractNumId w:val="28"/>
  </w:num>
  <w:num w:numId="25">
    <w:abstractNumId w:val="12"/>
  </w:num>
  <w:num w:numId="26">
    <w:abstractNumId w:val="14"/>
  </w:num>
  <w:num w:numId="27">
    <w:abstractNumId w:val="11"/>
  </w:num>
  <w:num w:numId="28">
    <w:abstractNumId w:val="17"/>
  </w:num>
  <w:num w:numId="29">
    <w:abstractNumId w:val="22"/>
  </w:num>
  <w:num w:numId="30">
    <w:abstractNumId w:val="18"/>
  </w:num>
  <w:num w:numId="31">
    <w:abstractNumId w:val="30"/>
  </w:num>
  <w:num w:numId="32">
    <w:abstractNumId w:val="24"/>
  </w:num>
  <w:num w:numId="33">
    <w:abstractNumId w:val="27"/>
  </w:num>
  <w:num w:numId="34">
    <w:abstractNumId w:val="10"/>
  </w:num>
  <w:num w:numId="35">
    <w:abstractNumId w:val="16"/>
  </w:num>
  <w:num w:numId="36">
    <w:abstractNumId w:val="32"/>
  </w:num>
  <w:num w:numId="37">
    <w:abstractNumId w:val="2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43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779"/>
    <w:rsid w:val="000038AF"/>
    <w:rsid w:val="000043CE"/>
    <w:rsid w:val="00004B11"/>
    <w:rsid w:val="00006316"/>
    <w:rsid w:val="00006D5D"/>
    <w:rsid w:val="00013639"/>
    <w:rsid w:val="0001418E"/>
    <w:rsid w:val="00026620"/>
    <w:rsid w:val="00032001"/>
    <w:rsid w:val="00034F52"/>
    <w:rsid w:val="00037AFC"/>
    <w:rsid w:val="0004769F"/>
    <w:rsid w:val="000536C9"/>
    <w:rsid w:val="00061E9F"/>
    <w:rsid w:val="00063428"/>
    <w:rsid w:val="00071DCC"/>
    <w:rsid w:val="00072CEC"/>
    <w:rsid w:val="0008545F"/>
    <w:rsid w:val="00086BB3"/>
    <w:rsid w:val="00087E04"/>
    <w:rsid w:val="000912C5"/>
    <w:rsid w:val="000972F1"/>
    <w:rsid w:val="000A15D3"/>
    <w:rsid w:val="000A3CC0"/>
    <w:rsid w:val="000A4AB4"/>
    <w:rsid w:val="000A5B17"/>
    <w:rsid w:val="000B4F23"/>
    <w:rsid w:val="000B5AF3"/>
    <w:rsid w:val="000C0D50"/>
    <w:rsid w:val="000C5695"/>
    <w:rsid w:val="000E6EBB"/>
    <w:rsid w:val="000F0F13"/>
    <w:rsid w:val="000F73E5"/>
    <w:rsid w:val="0011176D"/>
    <w:rsid w:val="00115187"/>
    <w:rsid w:val="00122D6C"/>
    <w:rsid w:val="001273D0"/>
    <w:rsid w:val="00162392"/>
    <w:rsid w:val="001640B9"/>
    <w:rsid w:val="00183659"/>
    <w:rsid w:val="001A428C"/>
    <w:rsid w:val="001A600B"/>
    <w:rsid w:val="001B50D0"/>
    <w:rsid w:val="001C2F91"/>
    <w:rsid w:val="001C5B15"/>
    <w:rsid w:val="001D0C0B"/>
    <w:rsid w:val="001D413E"/>
    <w:rsid w:val="001D47D9"/>
    <w:rsid w:val="001E02D2"/>
    <w:rsid w:val="001E3A09"/>
    <w:rsid w:val="002163E5"/>
    <w:rsid w:val="0022181E"/>
    <w:rsid w:val="00226D20"/>
    <w:rsid w:val="00236617"/>
    <w:rsid w:val="00236B4F"/>
    <w:rsid w:val="00240B44"/>
    <w:rsid w:val="0024208F"/>
    <w:rsid w:val="00243991"/>
    <w:rsid w:val="00245499"/>
    <w:rsid w:val="00277CA6"/>
    <w:rsid w:val="00291DAB"/>
    <w:rsid w:val="00297388"/>
    <w:rsid w:val="002B08F6"/>
    <w:rsid w:val="002B412C"/>
    <w:rsid w:val="002B6117"/>
    <w:rsid w:val="002D2C88"/>
    <w:rsid w:val="002D57AF"/>
    <w:rsid w:val="002E5A56"/>
    <w:rsid w:val="002E5AF2"/>
    <w:rsid w:val="003076DD"/>
    <w:rsid w:val="00315B0E"/>
    <w:rsid w:val="00317005"/>
    <w:rsid w:val="00324F64"/>
    <w:rsid w:val="003374EE"/>
    <w:rsid w:val="0034088D"/>
    <w:rsid w:val="003409B7"/>
    <w:rsid w:val="003424DF"/>
    <w:rsid w:val="00342A3D"/>
    <w:rsid w:val="003473D7"/>
    <w:rsid w:val="00351C9A"/>
    <w:rsid w:val="00357835"/>
    <w:rsid w:val="00361E3F"/>
    <w:rsid w:val="003652A8"/>
    <w:rsid w:val="00371B68"/>
    <w:rsid w:val="003A06A7"/>
    <w:rsid w:val="003C6718"/>
    <w:rsid w:val="003C6A20"/>
    <w:rsid w:val="003D4FF6"/>
    <w:rsid w:val="003D7857"/>
    <w:rsid w:val="003E498D"/>
    <w:rsid w:val="00405010"/>
    <w:rsid w:val="00410A3D"/>
    <w:rsid w:val="00413D71"/>
    <w:rsid w:val="00426888"/>
    <w:rsid w:val="00433B49"/>
    <w:rsid w:val="00450C1A"/>
    <w:rsid w:val="004856BD"/>
    <w:rsid w:val="004A2CC5"/>
    <w:rsid w:val="004A2F3F"/>
    <w:rsid w:val="004A2FDD"/>
    <w:rsid w:val="004A5C49"/>
    <w:rsid w:val="004A611B"/>
    <w:rsid w:val="004B793C"/>
    <w:rsid w:val="004C1ABF"/>
    <w:rsid w:val="004D7C86"/>
    <w:rsid w:val="004E1CD3"/>
    <w:rsid w:val="004F670A"/>
    <w:rsid w:val="005034A6"/>
    <w:rsid w:val="00504749"/>
    <w:rsid w:val="00513554"/>
    <w:rsid w:val="005310D7"/>
    <w:rsid w:val="005372AC"/>
    <w:rsid w:val="0054419B"/>
    <w:rsid w:val="00544D34"/>
    <w:rsid w:val="005456DB"/>
    <w:rsid w:val="005543F8"/>
    <w:rsid w:val="005701A3"/>
    <w:rsid w:val="00574DE9"/>
    <w:rsid w:val="00590ACB"/>
    <w:rsid w:val="00591CF2"/>
    <w:rsid w:val="00595E53"/>
    <w:rsid w:val="005A103D"/>
    <w:rsid w:val="005A3584"/>
    <w:rsid w:val="005A51D9"/>
    <w:rsid w:val="005B2168"/>
    <w:rsid w:val="005B6DAD"/>
    <w:rsid w:val="005B7046"/>
    <w:rsid w:val="005C01D3"/>
    <w:rsid w:val="005D6860"/>
    <w:rsid w:val="005E2A37"/>
    <w:rsid w:val="005E3AA1"/>
    <w:rsid w:val="005E4B64"/>
    <w:rsid w:val="005E7C62"/>
    <w:rsid w:val="005F3593"/>
    <w:rsid w:val="00603DCE"/>
    <w:rsid w:val="00604673"/>
    <w:rsid w:val="00606397"/>
    <w:rsid w:val="00614CED"/>
    <w:rsid w:val="006358AF"/>
    <w:rsid w:val="00646981"/>
    <w:rsid w:val="00663EB2"/>
    <w:rsid w:val="00666039"/>
    <w:rsid w:val="00667AA8"/>
    <w:rsid w:val="0067294D"/>
    <w:rsid w:val="006803A4"/>
    <w:rsid w:val="00682F3B"/>
    <w:rsid w:val="00686425"/>
    <w:rsid w:val="00694C07"/>
    <w:rsid w:val="006A4A61"/>
    <w:rsid w:val="006A59E9"/>
    <w:rsid w:val="006C0F4D"/>
    <w:rsid w:val="006D15B8"/>
    <w:rsid w:val="006D683D"/>
    <w:rsid w:val="006F2BDF"/>
    <w:rsid w:val="0070240C"/>
    <w:rsid w:val="00714158"/>
    <w:rsid w:val="0073696C"/>
    <w:rsid w:val="007433A5"/>
    <w:rsid w:val="007437EB"/>
    <w:rsid w:val="00744D13"/>
    <w:rsid w:val="00753585"/>
    <w:rsid w:val="007604BB"/>
    <w:rsid w:val="007642C8"/>
    <w:rsid w:val="007718CD"/>
    <w:rsid w:val="00776DFD"/>
    <w:rsid w:val="0078167E"/>
    <w:rsid w:val="00783104"/>
    <w:rsid w:val="007938AA"/>
    <w:rsid w:val="007A2565"/>
    <w:rsid w:val="007A76B4"/>
    <w:rsid w:val="007B18DF"/>
    <w:rsid w:val="007B29C0"/>
    <w:rsid w:val="007D4156"/>
    <w:rsid w:val="007E02F5"/>
    <w:rsid w:val="007E6988"/>
    <w:rsid w:val="007F3C11"/>
    <w:rsid w:val="007F7208"/>
    <w:rsid w:val="00811FE8"/>
    <w:rsid w:val="008515A0"/>
    <w:rsid w:val="00853621"/>
    <w:rsid w:val="00853B13"/>
    <w:rsid w:val="00853C16"/>
    <w:rsid w:val="008557AF"/>
    <w:rsid w:val="00860F46"/>
    <w:rsid w:val="00866DC9"/>
    <w:rsid w:val="008A5800"/>
    <w:rsid w:val="008B2A1D"/>
    <w:rsid w:val="008C00B4"/>
    <w:rsid w:val="008D01F2"/>
    <w:rsid w:val="008D0ABC"/>
    <w:rsid w:val="008D2A78"/>
    <w:rsid w:val="008F5848"/>
    <w:rsid w:val="008F757E"/>
    <w:rsid w:val="008F7779"/>
    <w:rsid w:val="00901F28"/>
    <w:rsid w:val="0090586A"/>
    <w:rsid w:val="00907565"/>
    <w:rsid w:val="00913C32"/>
    <w:rsid w:val="0091667D"/>
    <w:rsid w:val="0093685C"/>
    <w:rsid w:val="00945760"/>
    <w:rsid w:val="00950AB4"/>
    <w:rsid w:val="0097607F"/>
    <w:rsid w:val="009856A7"/>
    <w:rsid w:val="0099267E"/>
    <w:rsid w:val="009958A3"/>
    <w:rsid w:val="009A617C"/>
    <w:rsid w:val="009C4089"/>
    <w:rsid w:val="009C4EB0"/>
    <w:rsid w:val="009D34E0"/>
    <w:rsid w:val="009D42C8"/>
    <w:rsid w:val="009D4A03"/>
    <w:rsid w:val="009F4799"/>
    <w:rsid w:val="009F549D"/>
    <w:rsid w:val="00A168E1"/>
    <w:rsid w:val="00A24EBD"/>
    <w:rsid w:val="00A24EE0"/>
    <w:rsid w:val="00A35DB2"/>
    <w:rsid w:val="00A530EA"/>
    <w:rsid w:val="00A57047"/>
    <w:rsid w:val="00A66522"/>
    <w:rsid w:val="00A7617C"/>
    <w:rsid w:val="00A77CD1"/>
    <w:rsid w:val="00A84BAF"/>
    <w:rsid w:val="00A86FC3"/>
    <w:rsid w:val="00A90B58"/>
    <w:rsid w:val="00AA0F55"/>
    <w:rsid w:val="00AB6C96"/>
    <w:rsid w:val="00AC785F"/>
    <w:rsid w:val="00AE417D"/>
    <w:rsid w:val="00AF5A25"/>
    <w:rsid w:val="00AF7231"/>
    <w:rsid w:val="00B015E5"/>
    <w:rsid w:val="00B1185B"/>
    <w:rsid w:val="00B375C0"/>
    <w:rsid w:val="00B4381D"/>
    <w:rsid w:val="00B43956"/>
    <w:rsid w:val="00B5246B"/>
    <w:rsid w:val="00B5541A"/>
    <w:rsid w:val="00B73A3D"/>
    <w:rsid w:val="00BA0527"/>
    <w:rsid w:val="00BA2AA8"/>
    <w:rsid w:val="00BB2BAF"/>
    <w:rsid w:val="00BB5FEF"/>
    <w:rsid w:val="00BC4EDB"/>
    <w:rsid w:val="00BE075C"/>
    <w:rsid w:val="00BE1B79"/>
    <w:rsid w:val="00BE4C38"/>
    <w:rsid w:val="00BE7D93"/>
    <w:rsid w:val="00BF0FAD"/>
    <w:rsid w:val="00BF2CB9"/>
    <w:rsid w:val="00BF36BC"/>
    <w:rsid w:val="00C1582A"/>
    <w:rsid w:val="00C17BAB"/>
    <w:rsid w:val="00C26AFD"/>
    <w:rsid w:val="00C34B11"/>
    <w:rsid w:val="00C37E9C"/>
    <w:rsid w:val="00C42F09"/>
    <w:rsid w:val="00C45B09"/>
    <w:rsid w:val="00C46A8E"/>
    <w:rsid w:val="00C5125D"/>
    <w:rsid w:val="00C535E6"/>
    <w:rsid w:val="00C53C21"/>
    <w:rsid w:val="00C543E9"/>
    <w:rsid w:val="00C61CBE"/>
    <w:rsid w:val="00C7387C"/>
    <w:rsid w:val="00C77763"/>
    <w:rsid w:val="00C9566A"/>
    <w:rsid w:val="00CE4E87"/>
    <w:rsid w:val="00CE5FCD"/>
    <w:rsid w:val="00CF41BF"/>
    <w:rsid w:val="00CF5DC5"/>
    <w:rsid w:val="00D07870"/>
    <w:rsid w:val="00D125D1"/>
    <w:rsid w:val="00D239C1"/>
    <w:rsid w:val="00D24FB7"/>
    <w:rsid w:val="00D328A3"/>
    <w:rsid w:val="00D34457"/>
    <w:rsid w:val="00D358E1"/>
    <w:rsid w:val="00D37DC1"/>
    <w:rsid w:val="00D53C74"/>
    <w:rsid w:val="00D61BC0"/>
    <w:rsid w:val="00D83EA4"/>
    <w:rsid w:val="00D860AD"/>
    <w:rsid w:val="00D9110E"/>
    <w:rsid w:val="00D940AD"/>
    <w:rsid w:val="00DB1C30"/>
    <w:rsid w:val="00DB61CA"/>
    <w:rsid w:val="00DD4B04"/>
    <w:rsid w:val="00DE5CFB"/>
    <w:rsid w:val="00DF0827"/>
    <w:rsid w:val="00DF1E78"/>
    <w:rsid w:val="00DF4285"/>
    <w:rsid w:val="00E078E0"/>
    <w:rsid w:val="00E0790B"/>
    <w:rsid w:val="00E21C25"/>
    <w:rsid w:val="00E271A8"/>
    <w:rsid w:val="00E301A7"/>
    <w:rsid w:val="00E34BFD"/>
    <w:rsid w:val="00E359A3"/>
    <w:rsid w:val="00E441E8"/>
    <w:rsid w:val="00E46A66"/>
    <w:rsid w:val="00E4740B"/>
    <w:rsid w:val="00E54FD2"/>
    <w:rsid w:val="00E6249B"/>
    <w:rsid w:val="00E670E0"/>
    <w:rsid w:val="00E74ED1"/>
    <w:rsid w:val="00E90C5B"/>
    <w:rsid w:val="00E91611"/>
    <w:rsid w:val="00E9479C"/>
    <w:rsid w:val="00EA17B6"/>
    <w:rsid w:val="00EA7383"/>
    <w:rsid w:val="00EC2ED8"/>
    <w:rsid w:val="00EC4458"/>
    <w:rsid w:val="00EC5593"/>
    <w:rsid w:val="00ED370D"/>
    <w:rsid w:val="00ED4AEE"/>
    <w:rsid w:val="00EE0157"/>
    <w:rsid w:val="00EE1197"/>
    <w:rsid w:val="00EE2557"/>
    <w:rsid w:val="00EF1B6D"/>
    <w:rsid w:val="00EF3759"/>
    <w:rsid w:val="00F01F2D"/>
    <w:rsid w:val="00F15E66"/>
    <w:rsid w:val="00F42F9E"/>
    <w:rsid w:val="00F67C5C"/>
    <w:rsid w:val="00F73462"/>
    <w:rsid w:val="00F84C08"/>
    <w:rsid w:val="00F929EB"/>
    <w:rsid w:val="00F92DE5"/>
    <w:rsid w:val="00F93590"/>
    <w:rsid w:val="00F93A6E"/>
    <w:rsid w:val="00FA4149"/>
    <w:rsid w:val="00FA4841"/>
    <w:rsid w:val="00FB0247"/>
    <w:rsid w:val="00FB7544"/>
    <w:rsid w:val="00FC4E02"/>
    <w:rsid w:val="00FD25B3"/>
    <w:rsid w:val="00FE1828"/>
    <w:rsid w:val="00FE5D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81DC877"/>
  <w15:docId w15:val="{67256F20-46FE-4088-ABB8-CF6FF4475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qFormat="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5E53"/>
    <w:pPr>
      <w:spacing w:after="240"/>
    </w:pPr>
    <w:rPr>
      <w:spacing w:val="-2"/>
      <w:sz w:val="24"/>
      <w:szCs w:val="24"/>
    </w:rPr>
  </w:style>
  <w:style w:type="paragraph" w:styleId="Heading1">
    <w:name w:val="heading 1"/>
    <w:next w:val="Normal"/>
    <w:qFormat/>
    <w:rsid w:val="005701A3"/>
    <w:pPr>
      <w:keepNext/>
      <w:spacing w:after="120"/>
      <w:jc w:val="center"/>
      <w:outlineLvl w:val="0"/>
    </w:pPr>
    <w:rPr>
      <w:rFonts w:ascii="Arial" w:hAnsi="Arial" w:cs="Arial"/>
      <w:b/>
      <w:bCs/>
      <w:color w:val="004250" w:themeColor="accent1"/>
      <w:kern w:val="32"/>
      <w:sz w:val="32"/>
      <w:szCs w:val="26"/>
    </w:rPr>
  </w:style>
  <w:style w:type="paragraph" w:styleId="Heading2">
    <w:name w:val="heading 2"/>
    <w:basedOn w:val="Normal"/>
    <w:next w:val="Normal"/>
    <w:qFormat/>
    <w:rsid w:val="00F92DE5"/>
    <w:pPr>
      <w:keepNext/>
      <w:spacing w:after="120"/>
      <w:ind w:left="432" w:hanging="432"/>
      <w:outlineLvl w:val="1"/>
    </w:pPr>
    <w:rPr>
      <w:rFonts w:ascii="Arial" w:hAnsi="Arial" w:cs="Arial"/>
      <w:b/>
      <w:bCs/>
      <w:iCs/>
      <w:color w:val="004250" w:themeColor="accent1"/>
      <w:sz w:val="26"/>
    </w:rPr>
  </w:style>
  <w:style w:type="paragraph" w:styleId="Heading3">
    <w:name w:val="heading 3"/>
    <w:basedOn w:val="Normal"/>
    <w:next w:val="Normal"/>
    <w:qFormat/>
    <w:rsid w:val="00F93590"/>
    <w:pPr>
      <w:keepNext/>
      <w:spacing w:after="180"/>
      <w:ind w:left="432" w:hanging="432"/>
      <w:outlineLvl w:val="2"/>
    </w:pPr>
    <w:rPr>
      <w:rFonts w:ascii="Arial" w:hAnsi="Arial" w:cs="Arial"/>
      <w:b/>
      <w:bCs/>
      <w:color w:val="376776" w:themeColor="accent2" w:themeShade="BF"/>
    </w:rPr>
  </w:style>
  <w:style w:type="paragraph" w:styleId="Heading4">
    <w:name w:val="heading 4"/>
    <w:basedOn w:val="Normal"/>
    <w:next w:val="Normal"/>
    <w:qFormat/>
    <w:rsid w:val="006A4A61"/>
    <w:pPr>
      <w:keepNext/>
      <w:spacing w:after="120"/>
      <w:ind w:left="864" w:hanging="432"/>
      <w:outlineLvl w:val="3"/>
    </w:pPr>
    <w:rPr>
      <w:rFonts w:ascii="Arial" w:hAnsi="Arial"/>
      <w:b/>
      <w:bCs/>
      <w:i/>
      <w:color w:val="004250" w:themeColor="accent1"/>
    </w:rPr>
  </w:style>
  <w:style w:type="paragraph" w:styleId="Heading5">
    <w:name w:val="heading 5"/>
    <w:basedOn w:val="Normal"/>
    <w:next w:val="Normal"/>
    <w:qFormat/>
    <w:rsid w:val="006A4A61"/>
    <w:pPr>
      <w:keepNext/>
      <w:spacing w:after="120"/>
      <w:ind w:left="1296" w:hanging="432"/>
      <w:outlineLvl w:val="4"/>
    </w:pPr>
    <w:rPr>
      <w:rFonts w:ascii="Arial" w:hAnsi="Arial"/>
      <w:bCs/>
      <w:i/>
      <w:iCs/>
      <w:color w:val="004250" w:themeColor="accent1"/>
    </w:rPr>
  </w:style>
  <w:style w:type="paragraph" w:styleId="Heading6">
    <w:name w:val="heading 6"/>
    <w:basedOn w:val="Normal"/>
    <w:next w:val="Normal"/>
    <w:link w:val="Heading6Char"/>
    <w:unhideWhenUsed/>
    <w:qFormat/>
    <w:rsid w:val="006A4A61"/>
    <w:pPr>
      <w:keepNext/>
      <w:keepLines/>
      <w:spacing w:after="120"/>
      <w:outlineLvl w:val="5"/>
    </w:pPr>
    <w:rPr>
      <w:rFonts w:eastAsiaTheme="majorEastAsia" w:cstheme="majorBidi"/>
      <w:b/>
      <w:i/>
      <w:iCs/>
      <w:color w:val="004250" w:themeColor="accent1"/>
    </w:rPr>
  </w:style>
  <w:style w:type="paragraph" w:styleId="Heading7">
    <w:name w:val="heading 7"/>
    <w:basedOn w:val="Normal"/>
    <w:next w:val="Normal"/>
    <w:link w:val="Heading7Char"/>
    <w:semiHidden/>
    <w:unhideWhenUsed/>
    <w:qFormat/>
    <w:rsid w:val="00AC785F"/>
    <w:pPr>
      <w:keepNext/>
      <w:keepLines/>
      <w:spacing w:before="40" w:after="0"/>
      <w:outlineLvl w:val="6"/>
    </w:pPr>
    <w:rPr>
      <w:rFonts w:asciiTheme="majorHAnsi" w:eastAsiaTheme="majorEastAsia" w:hAnsiTheme="majorHAnsi" w:cstheme="majorBidi"/>
      <w:i/>
      <w:iCs/>
      <w:color w:val="002027" w:themeColor="accent1" w:themeShade="7F"/>
    </w:rPr>
  </w:style>
  <w:style w:type="paragraph" w:styleId="Heading8">
    <w:name w:val="heading 8"/>
    <w:basedOn w:val="Normal"/>
    <w:next w:val="Normal"/>
    <w:link w:val="Heading8Char"/>
    <w:semiHidden/>
    <w:unhideWhenUsed/>
    <w:qFormat/>
    <w:rsid w:val="00AC785F"/>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
    <w:name w:val="Bullet"/>
    <w:basedOn w:val="Normal"/>
    <w:qFormat/>
    <w:rsid w:val="00AC785F"/>
    <w:pPr>
      <w:numPr>
        <w:numId w:val="2"/>
      </w:numPr>
      <w:spacing w:after="120"/>
    </w:pPr>
  </w:style>
  <w:style w:type="paragraph" w:styleId="Subtitle">
    <w:name w:val="Subtitle"/>
    <w:basedOn w:val="Normal"/>
    <w:next w:val="Normal"/>
    <w:link w:val="SubtitleChar"/>
    <w:qFormat/>
    <w:rsid w:val="005701A3"/>
    <w:pPr>
      <w:widowControl w:val="0"/>
      <w:spacing w:after="480"/>
      <w:ind w:left="2160" w:hanging="2160"/>
      <w:jc w:val="center"/>
    </w:pPr>
    <w:rPr>
      <w:rFonts w:ascii="Arial" w:eastAsia="Frutiger LT Std 45 Light" w:hAnsi="Arial" w:cs="Arial"/>
      <w:b/>
      <w:i/>
      <w:color w:val="004250" w:themeColor="accent1"/>
      <w:spacing w:val="-14"/>
      <w:sz w:val="28"/>
      <w:szCs w:val="28"/>
    </w:rPr>
  </w:style>
  <w:style w:type="character" w:customStyle="1" w:styleId="SubtitleChar">
    <w:name w:val="Subtitle Char"/>
    <w:basedOn w:val="DefaultParagraphFont"/>
    <w:link w:val="Subtitle"/>
    <w:rsid w:val="005701A3"/>
    <w:rPr>
      <w:rFonts w:ascii="Arial" w:eastAsia="Frutiger LT Std 45 Light" w:hAnsi="Arial" w:cs="Arial"/>
      <w:b/>
      <w:i/>
      <w:color w:val="004250" w:themeColor="accent1"/>
      <w:spacing w:val="-14"/>
      <w:sz w:val="28"/>
      <w:szCs w:val="28"/>
    </w:rPr>
  </w:style>
  <w:style w:type="paragraph" w:styleId="NormalIndent">
    <w:name w:val="Normal Indent"/>
    <w:basedOn w:val="Normal"/>
    <w:link w:val="NormalIndentChar"/>
    <w:unhideWhenUsed/>
    <w:qFormat/>
    <w:rsid w:val="009F549D"/>
    <w:pPr>
      <w:ind w:left="432"/>
    </w:pPr>
  </w:style>
  <w:style w:type="paragraph" w:customStyle="1" w:styleId="Note">
    <w:name w:val="Note"/>
    <w:basedOn w:val="Bullet"/>
    <w:next w:val="Normal"/>
    <w:rsid w:val="005D6860"/>
    <w:pPr>
      <w:numPr>
        <w:numId w:val="0"/>
      </w:numPr>
      <w:spacing w:before="120" w:after="240"/>
      <w:ind w:left="432" w:hanging="432"/>
    </w:pPr>
    <w:rPr>
      <w:rFonts w:ascii="Trebuchet MS" w:hAnsi="Trebuchet MS"/>
      <w:sz w:val="20"/>
      <w:szCs w:val="20"/>
    </w:rPr>
  </w:style>
  <w:style w:type="paragraph" w:customStyle="1" w:styleId="Source">
    <w:name w:val="Source"/>
    <w:basedOn w:val="Normal"/>
    <w:next w:val="Normal"/>
    <w:rsid w:val="005D6860"/>
    <w:pPr>
      <w:spacing w:before="120"/>
    </w:pPr>
    <w:rPr>
      <w:rFonts w:ascii="Trebuchet MS" w:hAnsi="Trebuchet MS"/>
      <w:sz w:val="20"/>
      <w:szCs w:val="20"/>
    </w:rPr>
  </w:style>
  <w:style w:type="paragraph" w:styleId="TOCHeading">
    <w:name w:val="TOC Heading"/>
    <w:next w:val="TOC1"/>
    <w:qFormat/>
    <w:rsid w:val="007D4156"/>
    <w:pPr>
      <w:spacing w:after="360"/>
      <w:jc w:val="center"/>
    </w:pPr>
    <w:rPr>
      <w:rFonts w:ascii="Arial" w:hAnsi="Arial"/>
      <w:b/>
      <w:sz w:val="28"/>
      <w:szCs w:val="28"/>
    </w:rPr>
  </w:style>
  <w:style w:type="paragraph" w:styleId="TOC1">
    <w:name w:val="toc 1"/>
    <w:next w:val="Normal"/>
    <w:uiPriority w:val="39"/>
    <w:rsid w:val="00E359A3"/>
    <w:pPr>
      <w:tabs>
        <w:tab w:val="left" w:pos="432"/>
        <w:tab w:val="right" w:leader="dot" w:pos="9360"/>
      </w:tabs>
      <w:spacing w:before="240" w:after="120"/>
      <w:ind w:left="432" w:hanging="432"/>
    </w:pPr>
    <w:rPr>
      <w:b/>
      <w:caps/>
      <w:sz w:val="24"/>
      <w:szCs w:val="22"/>
    </w:rPr>
  </w:style>
  <w:style w:type="paragraph" w:styleId="TOC5">
    <w:name w:val="toc 5"/>
    <w:basedOn w:val="Normal"/>
    <w:next w:val="Normal"/>
    <w:autoRedefine/>
    <w:semiHidden/>
    <w:rsid w:val="0090586A"/>
    <w:pPr>
      <w:ind w:left="1728" w:hanging="432"/>
    </w:pPr>
    <w:rPr>
      <w:sz w:val="20"/>
    </w:rPr>
  </w:style>
  <w:style w:type="paragraph" w:styleId="TOC2">
    <w:name w:val="toc 2"/>
    <w:basedOn w:val="Normal"/>
    <w:next w:val="Normal"/>
    <w:uiPriority w:val="39"/>
    <w:rsid w:val="008515A0"/>
    <w:pPr>
      <w:tabs>
        <w:tab w:val="left" w:pos="864"/>
        <w:tab w:val="right" w:leader="dot" w:pos="9360"/>
      </w:tabs>
      <w:spacing w:after="120"/>
      <w:ind w:left="864" w:hanging="432"/>
    </w:pPr>
  </w:style>
  <w:style w:type="paragraph" w:styleId="TOC3">
    <w:name w:val="toc 3"/>
    <w:basedOn w:val="Normal"/>
    <w:next w:val="Normal"/>
    <w:uiPriority w:val="39"/>
    <w:rsid w:val="008515A0"/>
    <w:pPr>
      <w:tabs>
        <w:tab w:val="left" w:pos="1296"/>
        <w:tab w:val="right" w:leader="dot" w:pos="9360"/>
      </w:tabs>
      <w:spacing w:after="120"/>
      <w:ind w:left="1296" w:hanging="432"/>
    </w:pPr>
    <w:rPr>
      <w:i/>
      <w:szCs w:val="22"/>
    </w:rPr>
  </w:style>
  <w:style w:type="paragraph" w:styleId="TOC4">
    <w:name w:val="toc 4"/>
    <w:basedOn w:val="Normal"/>
    <w:next w:val="Normal"/>
    <w:autoRedefine/>
    <w:semiHidden/>
    <w:rsid w:val="0090586A"/>
    <w:pPr>
      <w:ind w:left="1728" w:hanging="432"/>
    </w:pPr>
    <w:rPr>
      <w:sz w:val="20"/>
      <w:szCs w:val="20"/>
    </w:rPr>
  </w:style>
  <w:style w:type="paragraph" w:styleId="BodyText">
    <w:name w:val="Body Text"/>
    <w:basedOn w:val="Normal"/>
    <w:link w:val="BodyTextChar"/>
    <w:rsid w:val="00C5125D"/>
    <w:rPr>
      <w:szCs w:val="22"/>
    </w:rPr>
  </w:style>
  <w:style w:type="table" w:styleId="TableGrid">
    <w:name w:val="Table Grid"/>
    <w:basedOn w:val="TableNormal"/>
    <w:rsid w:val="00C46A8E"/>
    <w:pPr>
      <w:spacing w:before="40" w:after="40"/>
      <w:jc w:val="center"/>
    </w:pPr>
    <w:rPr>
      <w:rFonts w:ascii="Trebuchet MS" w:hAnsi="Trebuchet MS"/>
    </w:rPr>
    <w:tblPr>
      <w:tblBorders>
        <w:top w:val="single" w:sz="12" w:space="0" w:color="auto"/>
        <w:bottom w:val="single" w:sz="12" w:space="0" w:color="auto"/>
      </w:tblBorders>
    </w:tblPr>
    <w:tblStylePr w:type="firstRow">
      <w:pPr>
        <w:jc w:val="center"/>
      </w:pPr>
      <w:rPr>
        <w:rFonts w:ascii="Trebuchet MS" w:hAnsi="Trebuchet MS"/>
        <w:b/>
        <w:sz w:val="20"/>
      </w:rPr>
      <w:tblPr/>
      <w:tcPr>
        <w:tcBorders>
          <w:bottom w:val="single" w:sz="12" w:space="0" w:color="auto"/>
        </w:tcBorders>
      </w:tcPr>
    </w:tblStylePr>
    <w:tblStylePr w:type="lastRow">
      <w:pPr>
        <w:wordWrap/>
        <w:spacing w:beforeLines="0" w:before="40" w:beforeAutospacing="0" w:afterLines="0" w:after="40" w:afterAutospacing="0"/>
      </w:pPr>
      <w:rPr>
        <w:rFonts w:ascii="Trebuchet MS" w:hAnsi="Trebuchet MS"/>
        <w:sz w:val="20"/>
      </w:rPr>
      <w:tblPr/>
      <w:tcPr>
        <w:tcBorders>
          <w:bottom w:val="single" w:sz="12" w:space="0" w:color="auto"/>
        </w:tcBorders>
      </w:tcPr>
    </w:tblStylePr>
  </w:style>
  <w:style w:type="paragraph" w:styleId="Header">
    <w:name w:val="header"/>
    <w:basedOn w:val="Normal"/>
    <w:link w:val="HeaderChar"/>
    <w:uiPriority w:val="99"/>
    <w:rsid w:val="001E02D2"/>
    <w:pPr>
      <w:pBdr>
        <w:bottom w:val="single" w:sz="4" w:space="1" w:color="auto"/>
      </w:pBdr>
      <w:tabs>
        <w:tab w:val="right" w:pos="9360"/>
      </w:tabs>
    </w:pPr>
    <w:rPr>
      <w:i/>
      <w:sz w:val="20"/>
    </w:rPr>
  </w:style>
  <w:style w:type="paragraph" w:styleId="Footer">
    <w:name w:val="footer"/>
    <w:link w:val="FooterChar"/>
    <w:rsid w:val="00FB0247"/>
    <w:pPr>
      <w:tabs>
        <w:tab w:val="center" w:pos="5040"/>
        <w:tab w:val="right" w:pos="9360"/>
      </w:tabs>
    </w:pPr>
    <w:rPr>
      <w:sz w:val="16"/>
      <w:szCs w:val="24"/>
    </w:rPr>
  </w:style>
  <w:style w:type="character" w:styleId="PageNumber">
    <w:name w:val="page number"/>
    <w:rsid w:val="00FB0247"/>
    <w:rPr>
      <w:rFonts w:ascii="Times New Roman" w:hAnsi="Times New Roman"/>
      <w:sz w:val="20"/>
      <w:szCs w:val="22"/>
    </w:rPr>
  </w:style>
  <w:style w:type="paragraph" w:customStyle="1" w:styleId="PCDocs">
    <w:name w:val="PCDocs#"/>
    <w:basedOn w:val="Normal"/>
    <w:rsid w:val="00EE1197"/>
    <w:pPr>
      <w:spacing w:before="120" w:after="0"/>
      <w:ind w:left="634"/>
    </w:pPr>
    <w:rPr>
      <w:sz w:val="16"/>
      <w:szCs w:val="16"/>
    </w:rPr>
  </w:style>
  <w:style w:type="paragraph" w:customStyle="1" w:styleId="PageHeader">
    <w:name w:val="Page Header"/>
    <w:rsid w:val="00FB0247"/>
    <w:rPr>
      <w:i/>
      <w:szCs w:val="24"/>
    </w:rPr>
  </w:style>
  <w:style w:type="paragraph" w:customStyle="1" w:styleId="Numberedlist">
    <w:name w:val="Numbered list"/>
    <w:basedOn w:val="Normal"/>
    <w:qFormat/>
    <w:rsid w:val="008515A0"/>
    <w:pPr>
      <w:numPr>
        <w:numId w:val="7"/>
      </w:numPr>
      <w:spacing w:after="120"/>
    </w:pPr>
  </w:style>
  <w:style w:type="character" w:customStyle="1" w:styleId="FooterChar">
    <w:name w:val="Footer Char"/>
    <w:link w:val="Footer"/>
    <w:rsid w:val="00FB0247"/>
    <w:rPr>
      <w:sz w:val="16"/>
      <w:szCs w:val="24"/>
    </w:rPr>
  </w:style>
  <w:style w:type="table" w:styleId="TableColumns3">
    <w:name w:val="Table Columns 3"/>
    <w:basedOn w:val="TableNormal"/>
    <w:rsid w:val="001A428C"/>
    <w:pPr>
      <w:spacing w:after="24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customStyle="1" w:styleId="TableText">
    <w:name w:val="Table Text"/>
    <w:basedOn w:val="Normal"/>
    <w:qFormat/>
    <w:rsid w:val="00405010"/>
    <w:pPr>
      <w:spacing w:before="40" w:after="40" w:line="220" w:lineRule="exact"/>
    </w:pPr>
    <w:rPr>
      <w:rFonts w:ascii="Calibri" w:hAnsi="Calibri"/>
      <w:sz w:val="20"/>
    </w:rPr>
  </w:style>
  <w:style w:type="character" w:styleId="Hyperlink">
    <w:name w:val="Hyperlink"/>
    <w:uiPriority w:val="99"/>
    <w:rsid w:val="00D860AD"/>
    <w:rPr>
      <w:color w:val="0000FF"/>
      <w:u w:val="single"/>
    </w:rPr>
  </w:style>
  <w:style w:type="paragraph" w:customStyle="1" w:styleId="NormalDoubleIndent">
    <w:name w:val="Normal Double Indent"/>
    <w:basedOn w:val="NormalIndent"/>
    <w:next w:val="Normal"/>
    <w:link w:val="NormalDoubleIndentChar"/>
    <w:qFormat/>
    <w:rsid w:val="00115187"/>
    <w:pPr>
      <w:ind w:left="864"/>
    </w:pPr>
  </w:style>
  <w:style w:type="paragraph" w:customStyle="1" w:styleId="Disclaimer1">
    <w:name w:val="Disclaimer 1"/>
    <w:basedOn w:val="Normal"/>
    <w:rsid w:val="00FB0247"/>
    <w:pPr>
      <w:autoSpaceDE w:val="0"/>
      <w:autoSpaceDN w:val="0"/>
      <w:adjustRightInd w:val="0"/>
      <w:spacing w:before="3480" w:after="0"/>
    </w:pPr>
    <w:rPr>
      <w:rFonts w:cs="BookAntiqua"/>
      <w:color w:val="00267F"/>
      <w:sz w:val="18"/>
      <w:szCs w:val="18"/>
    </w:rPr>
  </w:style>
  <w:style w:type="paragraph" w:customStyle="1" w:styleId="ALogo">
    <w:name w:val="A Logo"/>
    <w:basedOn w:val="Normal"/>
    <w:uiPriority w:val="1"/>
    <w:rsid w:val="00BF36BC"/>
    <w:pPr>
      <w:widowControl w:val="0"/>
      <w:spacing w:after="480"/>
    </w:pPr>
    <w:rPr>
      <w:sz w:val="20"/>
      <w:szCs w:val="20"/>
    </w:rPr>
  </w:style>
  <w:style w:type="character" w:customStyle="1" w:styleId="HeaderChar">
    <w:name w:val="Header Char"/>
    <w:link w:val="Header"/>
    <w:uiPriority w:val="99"/>
    <w:rsid w:val="001E02D2"/>
    <w:rPr>
      <w:i/>
      <w:spacing w:val="-2"/>
      <w:szCs w:val="24"/>
    </w:rPr>
  </w:style>
  <w:style w:type="paragraph" w:styleId="Title">
    <w:name w:val="Title"/>
    <w:next w:val="Normal"/>
    <w:link w:val="TitleChar"/>
    <w:rsid w:val="00FB0247"/>
    <w:pPr>
      <w:widowControl w:val="0"/>
      <w:spacing w:after="240"/>
      <w:jc w:val="right"/>
    </w:pPr>
    <w:rPr>
      <w:rFonts w:ascii="Tahoma" w:eastAsia="Frutiger LT Std 45 Light" w:hAnsi="Tahoma" w:cs="Arial"/>
      <w:color w:val="00267F"/>
      <w:spacing w:val="-14"/>
      <w:sz w:val="36"/>
      <w:szCs w:val="36"/>
    </w:rPr>
  </w:style>
  <w:style w:type="character" w:customStyle="1" w:styleId="TitleChar">
    <w:name w:val="Title Char"/>
    <w:link w:val="Title"/>
    <w:rsid w:val="00FB0247"/>
    <w:rPr>
      <w:rFonts w:ascii="Tahoma" w:eastAsia="Frutiger LT Std 45 Light" w:hAnsi="Tahoma" w:cs="Arial"/>
      <w:color w:val="00267F"/>
      <w:spacing w:val="-14"/>
      <w:sz w:val="36"/>
      <w:szCs w:val="36"/>
    </w:rPr>
  </w:style>
  <w:style w:type="character" w:customStyle="1" w:styleId="NormalIndentChar">
    <w:name w:val="Normal Indent Char"/>
    <w:basedOn w:val="DefaultParagraphFont"/>
    <w:link w:val="NormalIndent"/>
    <w:rsid w:val="009F549D"/>
    <w:rPr>
      <w:spacing w:val="-2"/>
      <w:sz w:val="24"/>
      <w:szCs w:val="24"/>
    </w:rPr>
  </w:style>
  <w:style w:type="character" w:customStyle="1" w:styleId="NormalDoubleIndentChar">
    <w:name w:val="Normal Double Indent Char"/>
    <w:basedOn w:val="NormalIndentChar"/>
    <w:link w:val="NormalDoubleIndent"/>
    <w:rsid w:val="00115187"/>
    <w:rPr>
      <w:spacing w:val="-2"/>
      <w:sz w:val="24"/>
      <w:szCs w:val="24"/>
    </w:rPr>
  </w:style>
  <w:style w:type="paragraph" w:customStyle="1" w:styleId="BasicParagraph">
    <w:name w:val="[Basic Paragraph]"/>
    <w:basedOn w:val="Normal"/>
    <w:uiPriority w:val="99"/>
    <w:rsid w:val="001273D0"/>
    <w:pPr>
      <w:widowControl w:val="0"/>
      <w:autoSpaceDE w:val="0"/>
      <w:autoSpaceDN w:val="0"/>
      <w:adjustRightInd w:val="0"/>
      <w:spacing w:after="0" w:line="288" w:lineRule="auto"/>
      <w:textAlignment w:val="center"/>
    </w:pPr>
    <w:rPr>
      <w:rFonts w:ascii="Times-Roman" w:eastAsia="MS PGothic" w:hAnsi="Times-Roman" w:cs="Times-Roman"/>
      <w:color w:val="000000"/>
    </w:rPr>
  </w:style>
  <w:style w:type="character" w:styleId="CommentReference">
    <w:name w:val="annotation reference"/>
    <w:uiPriority w:val="99"/>
    <w:rsid w:val="00405010"/>
    <w:rPr>
      <w:sz w:val="16"/>
      <w:szCs w:val="16"/>
    </w:rPr>
  </w:style>
  <w:style w:type="paragraph" w:styleId="CommentText">
    <w:name w:val="annotation text"/>
    <w:basedOn w:val="Normal"/>
    <w:link w:val="CommentTextChar"/>
    <w:uiPriority w:val="99"/>
    <w:rsid w:val="00405010"/>
    <w:rPr>
      <w:sz w:val="20"/>
      <w:szCs w:val="20"/>
    </w:rPr>
  </w:style>
  <w:style w:type="character" w:customStyle="1" w:styleId="CommentTextChar">
    <w:name w:val="Comment Text Char"/>
    <w:link w:val="CommentText"/>
    <w:uiPriority w:val="99"/>
    <w:rsid w:val="00405010"/>
    <w:rPr>
      <w:rFonts w:ascii="Book Antiqua" w:hAnsi="Book Antiqua"/>
    </w:rPr>
  </w:style>
  <w:style w:type="paragraph" w:styleId="CommentSubject">
    <w:name w:val="annotation subject"/>
    <w:basedOn w:val="CommentText"/>
    <w:next w:val="CommentText"/>
    <w:link w:val="CommentSubjectChar"/>
    <w:rsid w:val="00405010"/>
    <w:rPr>
      <w:b/>
      <w:bCs/>
    </w:rPr>
  </w:style>
  <w:style w:type="character" w:customStyle="1" w:styleId="CommentSubjectChar">
    <w:name w:val="Comment Subject Char"/>
    <w:link w:val="CommentSubject"/>
    <w:rsid w:val="00405010"/>
    <w:rPr>
      <w:rFonts w:ascii="Book Antiqua" w:hAnsi="Book Antiqua"/>
      <w:b/>
      <w:bCs/>
    </w:rPr>
  </w:style>
  <w:style w:type="paragraph" w:styleId="BalloonText">
    <w:name w:val="Balloon Text"/>
    <w:basedOn w:val="Normal"/>
    <w:link w:val="BalloonTextChar"/>
    <w:rsid w:val="00405010"/>
    <w:pPr>
      <w:spacing w:after="0"/>
    </w:pPr>
    <w:rPr>
      <w:rFonts w:ascii="Tahoma" w:hAnsi="Tahoma" w:cs="Tahoma"/>
      <w:sz w:val="16"/>
      <w:szCs w:val="16"/>
    </w:rPr>
  </w:style>
  <w:style w:type="character" w:customStyle="1" w:styleId="BalloonTextChar">
    <w:name w:val="Balloon Text Char"/>
    <w:link w:val="BalloonText"/>
    <w:rsid w:val="00405010"/>
    <w:rPr>
      <w:rFonts w:ascii="Tahoma" w:hAnsi="Tahoma" w:cs="Tahoma"/>
      <w:sz w:val="16"/>
      <w:szCs w:val="16"/>
    </w:rPr>
  </w:style>
  <w:style w:type="paragraph" w:styleId="Revision">
    <w:name w:val="Revision"/>
    <w:hidden/>
    <w:uiPriority w:val="99"/>
    <w:semiHidden/>
    <w:rsid w:val="00405010"/>
    <w:rPr>
      <w:rFonts w:ascii="Book Antiqua" w:hAnsi="Book Antiqua"/>
      <w:sz w:val="22"/>
      <w:szCs w:val="24"/>
    </w:rPr>
  </w:style>
  <w:style w:type="paragraph" w:styleId="NoSpacing">
    <w:name w:val="No Spacing"/>
    <w:uiPriority w:val="1"/>
    <w:qFormat/>
    <w:rsid w:val="007D4156"/>
    <w:rPr>
      <w:spacing w:val="-2"/>
      <w:sz w:val="24"/>
      <w:szCs w:val="24"/>
    </w:rPr>
  </w:style>
  <w:style w:type="character" w:customStyle="1" w:styleId="BodyTextChar">
    <w:name w:val="Body Text Char"/>
    <w:link w:val="BodyText"/>
    <w:rsid w:val="00405010"/>
    <w:rPr>
      <w:rFonts w:ascii="Book Antiqua" w:hAnsi="Book Antiqua"/>
      <w:spacing w:val="-2"/>
      <w:sz w:val="22"/>
      <w:szCs w:val="22"/>
    </w:rPr>
  </w:style>
  <w:style w:type="paragraph" w:customStyle="1" w:styleId="Call-outBoxHeader">
    <w:name w:val="Call-out Box Header"/>
    <w:basedOn w:val="Normal"/>
    <w:qFormat/>
    <w:rsid w:val="006A4A61"/>
    <w:pPr>
      <w:spacing w:before="60" w:after="120" w:line="260" w:lineRule="exact"/>
      <w:jc w:val="center"/>
    </w:pPr>
    <w:rPr>
      <w:rFonts w:ascii="Calibri" w:hAnsi="Calibri"/>
      <w:b/>
      <w:color w:val="004250" w:themeColor="accent1"/>
    </w:rPr>
  </w:style>
  <w:style w:type="paragraph" w:customStyle="1" w:styleId="Call-outBoxText">
    <w:name w:val="Call-out Box Text"/>
    <w:basedOn w:val="Normal"/>
    <w:qFormat/>
    <w:rsid w:val="006A4A61"/>
    <w:pPr>
      <w:spacing w:before="40" w:after="40" w:line="240" w:lineRule="exact"/>
    </w:pPr>
    <w:rPr>
      <w:rFonts w:ascii="Calibri" w:hAnsi="Calibri"/>
      <w:color w:val="004250" w:themeColor="accent1"/>
      <w:sz w:val="22"/>
    </w:rPr>
  </w:style>
  <w:style w:type="paragraph" w:customStyle="1" w:styleId="TableSubheaderRow">
    <w:name w:val="Table Subheader Row"/>
    <w:basedOn w:val="Normal"/>
    <w:qFormat/>
    <w:rsid w:val="006A4A61"/>
    <w:pPr>
      <w:spacing w:before="40" w:after="40" w:line="220" w:lineRule="exact"/>
    </w:pPr>
    <w:rPr>
      <w:rFonts w:ascii="Calibri" w:hAnsi="Calibri"/>
      <w:b/>
      <w:i/>
      <w:color w:val="004250" w:themeColor="accent1"/>
      <w:sz w:val="20"/>
    </w:rPr>
  </w:style>
  <w:style w:type="paragraph" w:customStyle="1" w:styleId="Call-outBoxBullet">
    <w:name w:val="Call-out Box Bullet"/>
    <w:basedOn w:val="Call-outBoxText"/>
    <w:qFormat/>
    <w:rsid w:val="003A06A7"/>
    <w:pPr>
      <w:numPr>
        <w:numId w:val="4"/>
      </w:numPr>
      <w:tabs>
        <w:tab w:val="left" w:pos="288"/>
      </w:tabs>
    </w:pPr>
  </w:style>
  <w:style w:type="paragraph" w:customStyle="1" w:styleId="Normal6ptafter">
    <w:name w:val="Normal (6 pt after)"/>
    <w:basedOn w:val="Normal"/>
    <w:qFormat/>
    <w:rsid w:val="000F0F13"/>
    <w:pPr>
      <w:spacing w:after="120"/>
    </w:pPr>
  </w:style>
  <w:style w:type="character" w:customStyle="1" w:styleId="Heading6Char">
    <w:name w:val="Heading 6 Char"/>
    <w:basedOn w:val="DefaultParagraphFont"/>
    <w:link w:val="Heading6"/>
    <w:rsid w:val="006A4A61"/>
    <w:rPr>
      <w:rFonts w:eastAsiaTheme="majorEastAsia" w:cstheme="majorBidi"/>
      <w:b/>
      <w:i/>
      <w:iCs/>
      <w:color w:val="004250" w:themeColor="accent1"/>
      <w:spacing w:val="-2"/>
      <w:sz w:val="24"/>
      <w:szCs w:val="24"/>
    </w:rPr>
  </w:style>
  <w:style w:type="table" w:customStyle="1" w:styleId="Lewin508">
    <w:name w:val="Lewin508"/>
    <w:basedOn w:val="TableNormal"/>
    <w:uiPriority w:val="99"/>
    <w:rsid w:val="005034A6"/>
    <w:rPr>
      <w:rFonts w:ascii="Calibri" w:hAnsi="Calibri"/>
    </w:rPr>
    <w:tblPr>
      <w:tblStyleRowBandSize w:val="1"/>
      <w:tblStyleColBandSize w:val="1"/>
      <w:jc w:val="center"/>
      <w:tblBorders>
        <w:top w:val="single" w:sz="4" w:space="0" w:color="004250" w:themeColor="accent1"/>
        <w:left w:val="single" w:sz="4" w:space="0" w:color="004250" w:themeColor="accent1"/>
        <w:bottom w:val="single" w:sz="4" w:space="0" w:color="004250" w:themeColor="accent1"/>
        <w:right w:val="single" w:sz="4" w:space="0" w:color="004250" w:themeColor="accent1"/>
        <w:insideH w:val="single" w:sz="4" w:space="0" w:color="004250" w:themeColor="accent1"/>
        <w:insideV w:val="single" w:sz="4" w:space="0" w:color="004250" w:themeColor="accent1"/>
      </w:tblBorders>
      <w:tblCellMar>
        <w:left w:w="86" w:type="dxa"/>
        <w:right w:w="86" w:type="dxa"/>
      </w:tblCellMar>
    </w:tblPr>
    <w:trPr>
      <w:cantSplit/>
      <w:jc w:val="center"/>
    </w:trPr>
    <w:tcPr>
      <w:vAlign w:val="center"/>
    </w:tcPr>
    <w:tblStylePr w:type="firstRow">
      <w:pPr>
        <w:jc w:val="center"/>
      </w:pPr>
      <w:rPr>
        <w:rFonts w:ascii="Calibri" w:hAnsi="Calibri"/>
        <w:b/>
        <w:color w:val="FFFFFF" w:themeColor="background1"/>
        <w:sz w:val="22"/>
      </w:rPr>
      <w:tblPr/>
      <w:tcPr>
        <w:tcBorders>
          <w:top w:val="single" w:sz="4" w:space="0" w:color="auto"/>
          <w:left w:val="single" w:sz="4" w:space="0" w:color="004250" w:themeColor="accent1"/>
          <w:bottom w:val="nil"/>
          <w:right w:val="single" w:sz="4" w:space="0" w:color="004250" w:themeColor="accent1"/>
          <w:insideH w:val="single" w:sz="4" w:space="0" w:color="FFFFFF" w:themeColor="background1"/>
          <w:insideV w:val="single" w:sz="4" w:space="0" w:color="FFFFFF" w:themeColor="background1"/>
          <w:tl2br w:val="nil"/>
          <w:tr2bl w:val="nil"/>
        </w:tcBorders>
        <w:shd w:val="clear" w:color="auto" w:fill="004250"/>
      </w:tcPr>
    </w:tblStylePr>
    <w:tblStylePr w:type="lastRow">
      <w:tblPr/>
      <w:tcPr>
        <w:shd w:val="clear" w:color="auto" w:fill="B3D1DB" w:themeFill="accent2" w:themeFillTint="66"/>
      </w:tcPr>
    </w:tblStylePr>
    <w:tblStylePr w:type="firstCol">
      <w:rPr>
        <w:b/>
      </w:rPr>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lastCol">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1Vert">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2Vert">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1Horz">
      <w:pPr>
        <w:jc w:val="left"/>
      </w:pPr>
      <w:rPr>
        <w:rFonts w:ascii="Calibri" w:hAnsi="Calibri"/>
        <w:sz w:val="20"/>
      </w:rPr>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2Horz">
      <w:pPr>
        <w:jc w:val="left"/>
      </w:pPr>
      <w:rPr>
        <w:rFonts w:ascii="Calibri" w:hAnsi="Calibri"/>
        <w:sz w:val="20"/>
      </w:rPr>
      <w:tblPr/>
      <w:tcPr>
        <w:shd w:val="clear" w:color="auto" w:fill="B3D1DB" w:themeFill="accent2" w:themeFillTint="66"/>
      </w:tcPr>
    </w:tblStylePr>
    <w:tblStylePr w:type="nwCell">
      <w:tblPr/>
      <w:tcPr>
        <w:tcBorders>
          <w:top w:val="single" w:sz="4" w:space="0" w:color="004250" w:themeColor="accent1"/>
          <w:left w:val="single" w:sz="4" w:space="0" w:color="004250" w:themeColor="accent1"/>
          <w:bottom w:val="nil"/>
          <w:right w:val="nil"/>
          <w:insideH w:val="nil"/>
          <w:insideV w:val="nil"/>
          <w:tl2br w:val="nil"/>
          <w:tr2bl w:val="nil"/>
        </w:tcBorders>
      </w:tcPr>
    </w:tblStylePr>
    <w:tblStylePr w:type="swCell">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style>
  <w:style w:type="paragraph" w:customStyle="1" w:styleId="TableBullet">
    <w:name w:val="Table Bullet"/>
    <w:basedOn w:val="TableText"/>
    <w:qFormat/>
    <w:rsid w:val="009958A3"/>
    <w:pPr>
      <w:numPr>
        <w:numId w:val="5"/>
      </w:numPr>
      <w:tabs>
        <w:tab w:val="left" w:pos="216"/>
      </w:tabs>
    </w:pPr>
    <w:rPr>
      <w:bCs/>
      <w:spacing w:val="0"/>
    </w:rPr>
  </w:style>
  <w:style w:type="paragraph" w:styleId="ListParagraph">
    <w:name w:val="List Paragraph"/>
    <w:basedOn w:val="Normal"/>
    <w:uiPriority w:val="34"/>
    <w:qFormat/>
    <w:rsid w:val="00E6249B"/>
    <w:pPr>
      <w:ind w:left="720"/>
      <w:contextualSpacing/>
    </w:pPr>
  </w:style>
  <w:style w:type="paragraph" w:customStyle="1" w:styleId="TableColumnHeader">
    <w:name w:val="Table Column Header"/>
    <w:basedOn w:val="Normal"/>
    <w:qFormat/>
    <w:rsid w:val="002B08F6"/>
    <w:pPr>
      <w:keepNext/>
      <w:spacing w:before="40" w:after="40" w:line="240" w:lineRule="exact"/>
      <w:jc w:val="center"/>
    </w:pPr>
    <w:rPr>
      <w:rFonts w:ascii="Calibri" w:hAnsi="Calibri"/>
      <w:spacing w:val="0"/>
      <w:sz w:val="22"/>
    </w:rPr>
  </w:style>
  <w:style w:type="paragraph" w:customStyle="1" w:styleId="TableRowHeader">
    <w:name w:val="Table Row Header"/>
    <w:basedOn w:val="Normal"/>
    <w:qFormat/>
    <w:rsid w:val="006A4A61"/>
    <w:pPr>
      <w:spacing w:before="40" w:after="40" w:line="240" w:lineRule="exact"/>
    </w:pPr>
    <w:rPr>
      <w:rFonts w:ascii="Calibri" w:hAnsi="Calibri"/>
      <w:b/>
      <w:color w:val="004250" w:themeColor="accent1"/>
      <w:spacing w:val="0"/>
      <w:sz w:val="22"/>
    </w:rPr>
  </w:style>
  <w:style w:type="paragraph" w:styleId="Caption">
    <w:name w:val="caption"/>
    <w:basedOn w:val="Normal"/>
    <w:next w:val="Normal"/>
    <w:unhideWhenUsed/>
    <w:qFormat/>
    <w:rsid w:val="005A51D9"/>
    <w:pPr>
      <w:keepNext/>
      <w:spacing w:after="80"/>
      <w:jc w:val="center"/>
    </w:pPr>
    <w:rPr>
      <w:rFonts w:ascii="Arial" w:hAnsi="Arial"/>
      <w:b/>
      <w:color w:val="000000"/>
      <w:sz w:val="22"/>
    </w:rPr>
  </w:style>
  <w:style w:type="character" w:customStyle="1" w:styleId="Heading7Char">
    <w:name w:val="Heading 7 Char"/>
    <w:basedOn w:val="DefaultParagraphFont"/>
    <w:link w:val="Heading7"/>
    <w:semiHidden/>
    <w:rsid w:val="00AC785F"/>
    <w:rPr>
      <w:rFonts w:asciiTheme="majorHAnsi" w:eastAsiaTheme="majorEastAsia" w:hAnsiTheme="majorHAnsi" w:cstheme="majorBidi"/>
      <w:i/>
      <w:iCs/>
      <w:color w:val="002027" w:themeColor="accent1" w:themeShade="7F"/>
      <w:spacing w:val="-2"/>
      <w:sz w:val="24"/>
      <w:szCs w:val="24"/>
    </w:rPr>
  </w:style>
  <w:style w:type="character" w:customStyle="1" w:styleId="Heading8Char">
    <w:name w:val="Heading 8 Char"/>
    <w:basedOn w:val="DefaultParagraphFont"/>
    <w:link w:val="Heading8"/>
    <w:semiHidden/>
    <w:rsid w:val="00AC785F"/>
    <w:rPr>
      <w:rFonts w:asciiTheme="majorHAnsi" w:eastAsiaTheme="majorEastAsia" w:hAnsiTheme="majorHAnsi" w:cstheme="majorBidi"/>
      <w:color w:val="272727" w:themeColor="text1" w:themeTint="D8"/>
      <w:spacing w:val="-2"/>
      <w:sz w:val="21"/>
      <w:szCs w:val="21"/>
    </w:rPr>
  </w:style>
  <w:style w:type="table" w:customStyle="1" w:styleId="Lewin508RowHeaders">
    <w:name w:val="Lewin508_RowHeaders"/>
    <w:basedOn w:val="Lewin508"/>
    <w:uiPriority w:val="99"/>
    <w:rsid w:val="00AF5A25"/>
    <w:tblPr/>
    <w:tblStylePr w:type="firstRow">
      <w:pPr>
        <w:jc w:val="center"/>
      </w:pPr>
      <w:rPr>
        <w:rFonts w:ascii="Calibri" w:hAnsi="Calibri"/>
        <w:b/>
        <w:color w:val="FFFFFF" w:themeColor="background1"/>
        <w:sz w:val="22"/>
      </w:rPr>
      <w:tblPr/>
      <w:trPr>
        <w:tblHeader/>
      </w:trPr>
      <w:tcPr>
        <w:tcBorders>
          <w:top w:val="single" w:sz="4" w:space="0" w:color="auto"/>
          <w:left w:val="single" w:sz="4" w:space="0" w:color="004250" w:themeColor="accent1"/>
          <w:bottom w:val="nil"/>
          <w:right w:val="single" w:sz="4" w:space="0" w:color="004250" w:themeColor="accent1"/>
          <w:insideH w:val="single" w:sz="4" w:space="0" w:color="FFFFFF" w:themeColor="background1"/>
          <w:insideV w:val="single" w:sz="4" w:space="0" w:color="FFFFFF" w:themeColor="background1"/>
          <w:tl2br w:val="nil"/>
          <w:tr2bl w:val="nil"/>
        </w:tcBorders>
        <w:shd w:val="clear" w:color="auto" w:fill="004250"/>
      </w:tcPr>
    </w:tblStylePr>
    <w:tblStylePr w:type="lastRow">
      <w:tblPr/>
      <w:tcPr>
        <w:shd w:val="clear" w:color="auto" w:fill="B3D1DB" w:themeFill="accent2" w:themeFillTint="66"/>
      </w:tcPr>
    </w:tblStylePr>
    <w:tblStylePr w:type="firstCol">
      <w:rPr>
        <w:b w:val="0"/>
      </w:rPr>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shd w:val="clear" w:color="auto" w:fill="DDD3AF" w:themeFill="accent3"/>
      </w:tcPr>
    </w:tblStylePr>
    <w:tblStylePr w:type="lastCol">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1Vert">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2Vert">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1Horz">
      <w:pPr>
        <w:jc w:val="left"/>
      </w:pPr>
      <w:rPr>
        <w:rFonts w:ascii="Calibri" w:hAnsi="Calibri"/>
        <w:sz w:val="20"/>
      </w:rPr>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tcPr>
    </w:tblStylePr>
    <w:tblStylePr w:type="band2Horz">
      <w:pPr>
        <w:jc w:val="left"/>
      </w:pPr>
      <w:rPr>
        <w:rFonts w:ascii="Calibri" w:hAnsi="Calibri"/>
        <w:sz w:val="20"/>
      </w:rPr>
      <w:tblPr/>
      <w:tcPr>
        <w:shd w:val="clear" w:color="auto" w:fill="B3D1DB" w:themeFill="accent2" w:themeFillTint="66"/>
      </w:tcPr>
    </w:tblStylePr>
    <w:tblStylePr w:type="nwCell">
      <w:tblPr/>
      <w:tcPr>
        <w:tcBorders>
          <w:top w:val="single" w:sz="4" w:space="0" w:color="004250" w:themeColor="accent1"/>
          <w:left w:val="single" w:sz="4" w:space="0" w:color="004250" w:themeColor="accent1"/>
          <w:bottom w:val="nil"/>
          <w:right w:val="nil"/>
          <w:insideH w:val="nil"/>
          <w:insideV w:val="nil"/>
          <w:tl2br w:val="nil"/>
          <w:tr2bl w:val="nil"/>
        </w:tcBorders>
      </w:tcPr>
    </w:tblStylePr>
    <w:tblStylePr w:type="swCell">
      <w:rPr>
        <w:b w:val="0"/>
      </w:rPr>
      <w:tblPr/>
      <w:tcPr>
        <w:tcBorders>
          <w:top w:val="single" w:sz="4" w:space="0" w:color="004250"/>
          <w:left w:val="single" w:sz="4" w:space="0" w:color="004250"/>
          <w:bottom w:val="single" w:sz="4" w:space="0" w:color="004250"/>
          <w:right w:val="single" w:sz="4" w:space="0" w:color="004250"/>
          <w:insideH w:val="single" w:sz="4" w:space="0" w:color="004250"/>
          <w:insideV w:val="single" w:sz="4" w:space="0" w:color="004250"/>
        </w:tcBorders>
        <w:shd w:val="clear" w:color="auto" w:fill="DDD3AF" w:themeFill="accent3"/>
      </w:tcPr>
    </w:tblStylePr>
  </w:style>
  <w:style w:type="table" w:styleId="GridTable1Light">
    <w:name w:val="Grid Table 1 Light"/>
    <w:basedOn w:val="TableNormal"/>
    <w:uiPriority w:val="46"/>
    <w:rsid w:val="00853621"/>
    <w:rPr>
      <w:rFonts w:ascii="Calibri" w:hAnsi="Calibri"/>
      <w:sz w:val="22"/>
    </w:rPr>
    <w:tblPr>
      <w:tblStyleRowBandSize w:val="1"/>
      <w:tblStyleColBandSize w:val="1"/>
      <w:tblBorders>
        <w:insideH w:val="single" w:sz="4" w:space="0" w:color="auto"/>
        <w:insideV w:val="single" w:sz="4" w:space="0" w:color="auto"/>
      </w:tblBorders>
    </w:tblPr>
    <w:tblStylePr w:type="firstRow">
      <w:rPr>
        <w:b/>
        <w:bCs/>
      </w:rPr>
      <w:tblPr/>
      <w:tcPr>
        <w:tcBorders>
          <w:bottom w:val="single" w:sz="12" w:space="0" w:color="666666" w:themeColor="text1" w:themeTint="99"/>
          <w:insideH w:val="single" w:sz="4" w:space="0" w:color="auto"/>
          <w:insideV w:val="single" w:sz="4" w:space="0" w:color="auto"/>
        </w:tcBorders>
      </w:tcPr>
    </w:tblStylePr>
    <w:tblStylePr w:type="lastRow">
      <w:rPr>
        <w:b w:val="0"/>
        <w:bCs/>
      </w:rPr>
      <w:tblPr/>
      <w:tcPr>
        <w:tcBorders>
          <w:top w:val="double" w:sz="2" w:space="0" w:color="666666" w:themeColor="text1" w:themeTint="99"/>
        </w:tcBorders>
      </w:tcPr>
    </w:tblStylePr>
    <w:tblStylePr w:type="firstCol">
      <w:rPr>
        <w:b w:val="0"/>
        <w:bCs/>
      </w:rPr>
    </w:tblStylePr>
    <w:tblStylePr w:type="lastCol">
      <w:rPr>
        <w:b w:val="0"/>
        <w:bCs/>
      </w:rPr>
    </w:tblStylePr>
  </w:style>
  <w:style w:type="table" w:customStyle="1" w:styleId="Style2">
    <w:name w:val="Style2"/>
    <w:basedOn w:val="TableNormal"/>
    <w:uiPriority w:val="99"/>
    <w:rsid w:val="00853621"/>
    <w:rPr>
      <w:rFonts w:asciiTheme="minorHAnsi" w:eastAsiaTheme="minorHAnsi" w:hAnsiTheme="minorHAnsi" w:cstheme="minorBidi"/>
      <w:sz w:val="22"/>
      <w:szCs w:val="22"/>
    </w:rPr>
    <w:tblPr>
      <w:tblBorders>
        <w:insideH w:val="single" w:sz="4" w:space="0" w:color="auto"/>
        <w:insideV w:val="single" w:sz="4" w:space="0" w:color="auto"/>
      </w:tblBorders>
    </w:tblPr>
  </w:style>
  <w:style w:type="table" w:styleId="TableGridLight">
    <w:name w:val="Grid Table Light"/>
    <w:basedOn w:val="TableNormal"/>
    <w:uiPriority w:val="40"/>
    <w:rsid w:val="0054419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efault">
    <w:name w:val="Default"/>
    <w:rsid w:val="00E301A7"/>
    <w:pPr>
      <w:autoSpaceDE w:val="0"/>
      <w:autoSpaceDN w:val="0"/>
      <w:adjustRightInd w:val="0"/>
    </w:pPr>
    <w:rPr>
      <w:rFonts w:ascii="Cambria" w:eastAsiaTheme="minorHAnsi" w:hAnsi="Cambria" w:cs="Cambria"/>
      <w:color w:val="000000"/>
      <w:sz w:val="24"/>
      <w:szCs w:val="24"/>
    </w:rPr>
  </w:style>
  <w:style w:type="character" w:customStyle="1" w:styleId="UnresolvedMention">
    <w:name w:val="Unresolved Mention"/>
    <w:basedOn w:val="DefaultParagraphFont"/>
    <w:uiPriority w:val="99"/>
    <w:semiHidden/>
    <w:unhideWhenUsed/>
    <w:rsid w:val="00FC4E02"/>
    <w:rPr>
      <w:color w:val="605E5C"/>
      <w:shd w:val="clear" w:color="auto" w:fill="E1DFDD"/>
    </w:rPr>
  </w:style>
  <w:style w:type="table" w:styleId="GridTable1Light-Accent1">
    <w:name w:val="Grid Table 1 Light Accent 1"/>
    <w:basedOn w:val="TableNormal"/>
    <w:uiPriority w:val="46"/>
    <w:rsid w:val="00C53C21"/>
    <w:rPr>
      <w:rFonts w:asciiTheme="minorHAnsi" w:eastAsiaTheme="minorHAnsi" w:hAnsiTheme="minorHAnsi" w:cstheme="minorBidi"/>
      <w:sz w:val="22"/>
      <w:szCs w:val="22"/>
    </w:rPr>
    <w:tblPr>
      <w:tblStyleRowBandSize w:val="1"/>
      <w:tblStyleColBandSize w:val="1"/>
      <w:tblInd w:w="0" w:type="nil"/>
      <w:tblBorders>
        <w:top w:val="single" w:sz="4" w:space="0" w:color="53E0FF" w:themeColor="accent1" w:themeTint="66"/>
        <w:left w:val="single" w:sz="4" w:space="0" w:color="53E0FF" w:themeColor="accent1" w:themeTint="66"/>
        <w:bottom w:val="single" w:sz="4" w:space="0" w:color="53E0FF" w:themeColor="accent1" w:themeTint="66"/>
        <w:right w:val="single" w:sz="4" w:space="0" w:color="53E0FF" w:themeColor="accent1" w:themeTint="66"/>
        <w:insideH w:val="single" w:sz="4" w:space="0" w:color="53E0FF" w:themeColor="accent1" w:themeTint="66"/>
        <w:insideV w:val="single" w:sz="4" w:space="0" w:color="53E0FF" w:themeColor="accent1" w:themeTint="66"/>
      </w:tblBorders>
    </w:tblPr>
    <w:tblStylePr w:type="firstRow">
      <w:rPr>
        <w:b/>
        <w:bCs/>
      </w:rPr>
      <w:tblPr/>
      <w:tcPr>
        <w:tcBorders>
          <w:bottom w:val="single" w:sz="12" w:space="0" w:color="00CFFC" w:themeColor="accent1" w:themeTint="99"/>
        </w:tcBorders>
      </w:tcPr>
    </w:tblStylePr>
    <w:tblStylePr w:type="lastRow">
      <w:rPr>
        <w:b/>
        <w:bCs/>
      </w:rPr>
      <w:tblPr/>
      <w:tcPr>
        <w:tcBorders>
          <w:top w:val="double" w:sz="2" w:space="0" w:color="00CFFC"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semiHidden/>
    <w:unhideWhenUsed/>
    <w:rsid w:val="006803A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1441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naccho.org/uploads/downloadable-resources/Capacity-Building-Toolkit-for-Aging-and-Disability-Networks-2-5-19.pdf"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Lewin Theme">
      <a:dk1>
        <a:sysClr val="windowText" lastClr="000000"/>
      </a:dk1>
      <a:lt1>
        <a:srgbClr val="FFFFFF"/>
      </a:lt1>
      <a:dk2>
        <a:srgbClr val="595959"/>
      </a:dk2>
      <a:lt2>
        <a:srgbClr val="F0E8D4"/>
      </a:lt2>
      <a:accent1>
        <a:srgbClr val="004250"/>
      </a:accent1>
      <a:accent2>
        <a:srgbClr val="4A8A9F"/>
      </a:accent2>
      <a:accent3>
        <a:srgbClr val="DDD3AF"/>
      </a:accent3>
      <a:accent4>
        <a:srgbClr val="4D4F53"/>
      </a:accent4>
      <a:accent5>
        <a:srgbClr val="ADAFAF"/>
      </a:accent5>
      <a:accent6>
        <a:srgbClr val="E00034"/>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784FA1-E1E5-460A-993D-EF31676BE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896</Words>
  <Characters>5108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I</vt:lpstr>
    </vt:vector>
  </TitlesOfParts>
  <Company>The Lewin Group</Company>
  <LinksUpToDate>false</LinksUpToDate>
  <CharactersWithSpaces>5993</CharactersWithSpaces>
  <SharedDoc>false</SharedDoc>
  <HLinks>
    <vt:vector size="12" baseType="variant">
      <vt:variant>
        <vt:i4>5242909</vt:i4>
      </vt:variant>
      <vt:variant>
        <vt:i4>6</vt:i4>
      </vt:variant>
      <vt:variant>
        <vt:i4>0</vt:i4>
      </vt:variant>
      <vt:variant>
        <vt:i4>5</vt:i4>
      </vt:variant>
      <vt:variant>
        <vt:lpwstr>http://www.lewin.com/</vt:lpwstr>
      </vt:variant>
      <vt:variant>
        <vt:lpwstr/>
      </vt:variant>
      <vt:variant>
        <vt:i4>5242909</vt:i4>
      </vt:variant>
      <vt:variant>
        <vt:i4>0</vt:i4>
      </vt:variant>
      <vt:variant>
        <vt:i4>0</vt:i4>
      </vt:variant>
      <vt:variant>
        <vt:i4>5</vt:i4>
      </vt:variant>
      <vt:variant>
        <vt:lpwstr>http://www.lewin.com/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Fernandez, Sharon</dc:creator>
  <cp:keywords/>
  <dc:description/>
  <cp:lastModifiedBy>Fernandez, Sharon</cp:lastModifiedBy>
  <cp:revision>8</cp:revision>
  <cp:lastPrinted>2016-02-17T19:32:00Z</cp:lastPrinted>
  <dcterms:created xsi:type="dcterms:W3CDTF">2020-05-18T15:47:00Z</dcterms:created>
  <dcterms:modified xsi:type="dcterms:W3CDTF">2020-05-21T19:49:00Z</dcterms:modified>
</cp:coreProperties>
</file>